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before="2400"/>
        <w:jc w:val="center"/>
      </w:pPr>
      <w:r>
        <w:rPr>
          <w:rFonts w:ascii="Aptos" w:cs="Aptos" w:eastAsia="Aptos" w:hAnsi="Aptos"/>
          <w:b/>
          <w:bCs/>
          <w:sz w:val="56"/>
          <w:szCs w:val="56"/>
        </w:rPr>
        <w:t xml:space="preserve">THE PRIMARY PLANET</w:t>
      </w:r>
    </w:p>
    <w:p>
      <w:pPr>
        <w:spacing w:after="120"/>
        <w:jc w:val="center"/>
      </w:pPr>
      <w:r>
        <w:rPr>
          <w:rFonts w:ascii="Aptos" w:cs="Aptos" w:eastAsia="Aptos" w:hAnsi="Aptos"/>
          <w:b/>
          <w:bCs/>
          <w:sz w:val="40"/>
          <w:szCs w:val="40"/>
        </w:rPr>
        <w:t xml:space="preserve">Curriculum Planner</w:t>
      </w:r>
    </w:p>
    <w:p>
      <w:pPr>
        <w:spacing w:after="620"/>
        <w:jc w:val="center"/>
      </w:pPr>
      <w:r>
        <w:rPr>
          <w:rFonts w:ascii="Aptos" w:cs="Aptos" w:eastAsia="Aptos" w:hAnsi="Aptos"/>
          <w:sz w:val="28"/>
          <w:szCs w:val="28"/>
        </w:rPr>
        <w:t xml:space="preserve">Cuntas Míosúil</w:t>
      </w:r>
    </w:p>
    <w:p>
      <w:pPr>
        <w:spacing w:after="620" w:line="3800" w:lineRule="atLeast"/>
        <w:jc w:val="center"/>
      </w:pPr>
      <w:r>
        <w:drawing>
          <wp:inline distT="0" distB="0" distL="0" distR="0">
            <wp:extent cx="1809750" cy="22669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1809750" cy="2266950"/>
                    </a:xfrm>
                    <a:prstGeom prst="rect">
                      <a:avLst/>
                    </a:prstGeom>
                  </pic:spPr>
                </pic:pic>
              </a:graphicData>
            </a:graphic>
          </wp:inline>
        </w:drawing>
      </w:r>
    </w:p>
    <w:p>
      <w:pPr>
        <w:spacing w:after="140"/>
        <w:jc w:val="center"/>
      </w:pPr>
      <w:r>
        <w:rPr>
          <w:rFonts w:ascii="Aptos" w:cs="Aptos" w:eastAsia="Aptos" w:hAnsi="Aptos"/>
          <w:sz w:val="28"/>
          <w:szCs w:val="28"/>
        </w:rPr>
        <w:t xml:space="preserve">October 2026</w:t>
      </w:r>
    </w:p>
    <w:p>
      <w:pPr>
        <w:spacing w:after="420"/>
        <w:jc w:val="center"/>
      </w:pPr>
      <w:r>
        <w:rPr>
          <w:rFonts w:ascii="Aptos" w:cs="Aptos" w:eastAsia="Aptos" w:hAnsi="Aptos"/>
          <w:sz w:val="28"/>
          <w:szCs w:val="28"/>
        </w:rPr>
        <w:t xml:space="preserve">Issue #155</w:t>
      </w:r>
    </w:p>
    <w:p>
      <w:pPr>
        <w:spacing w:after="120"/>
        <w:jc w:val="center"/>
      </w:pPr>
      <w:r>
        <w:rPr>
          <w:rFonts w:ascii="Aptos" w:cs="Aptos" w:eastAsia="Aptos" w:hAnsi="Aptos"/>
          <w:b/>
          <w:bCs/>
          <w:sz w:val="26"/>
          <w:szCs w:val="26"/>
        </w:rPr>
        <w:t xml:space="preserve">Stage 4 – Fifth and Sixth Classes</w:t>
      </w:r>
    </w:p>
    <w:p>
      <w:pPr>
        <w:spacing w:after="0"/>
        <w:jc w:val="center"/>
      </w:pPr>
      <w:r>
        <w:rPr>
          <w:rFonts w:ascii="Aptos" w:cs="Aptos" w:eastAsia="Aptos" w:hAnsi="Aptos"/>
          <w:i/>
          <w:iCs/>
          <w:sz w:val="21"/>
          <w:szCs w:val="21"/>
        </w:rPr>
        <w:t xml:space="preserve">Tick each row as you cover it, then file.</w:t>
      </w:r>
    </w:p>
    <w:p>
      <w:pPr>
        <w:spacing w:after="0"/>
      </w:pPr>
      <w:r>
        <w:br w:type="page"/>
      </w:r>
    </w:p>
    <w:p>
      <w:pPr>
        <w:pBdr>
          <w:bottom w:val="single" w:color="999999" w:sz="4" w:space="6"/>
        </w:pBdr>
        <w:spacing w:after="110" w:before="320"/>
      </w:pPr>
      <w:r>
        <w:rPr>
          <w:rFonts w:ascii="Aptos" w:cs="Aptos" w:eastAsia="Aptos" w:hAnsi="Aptos"/>
          <w:b/>
          <w:bCs/>
          <w:sz w:val="23"/>
          <w:szCs w:val="23"/>
        </w:rPr>
        <w:t xml:space="preserve">WHOLE-ISSUE LANGUAGE LINK</w:t>
      </w:r>
    </w:p>
    <w:tbl>
      <w:tblPr>
        <w:tblW w:type="dxa" w:w="8600"/>
        <w:tblBorders>
          <w:top w:val="single" w:color="000000" w:sz="4"/>
          <w:left w:val="single" w:color="000000" w:sz="4"/>
          <w:bottom w:val="single" w:color="000000" w:sz="4"/>
          <w:right w:val="single" w:color="000000" w:sz="4"/>
          <w:insideH w:val="single" w:color="000000" w:sz="4"/>
          <w:insideV w:val="single" w:color="000000" w:sz="4"/>
        </w:tblBorders>
      </w:tblPr>
      <w:tblGrid>
        <w:gridCol w:w="2200"/>
        <w:gridCol w:w="5700"/>
        <w:gridCol w:w="700"/>
      </w:tblGrid>
      <w:tr>
        <w:tc>
          <w:tcPr>
            <w:tcW w:type="dxa" w:w="2200"/>
            <w:tcMar>
              <w:top w:type="dxa" w:w="70"/>
              <w:left w:type="dxa" w:w="110"/>
              <w:bottom w:type="dxa" w:w="70"/>
              <w:right w:type="dxa" w:w="110"/>
            </w:tcMar>
          </w:tcPr>
          <w:p>
            <w:pPr>
              <w:spacing w:after="0"/>
            </w:pPr>
            <w:r>
              <w:rPr>
                <w:rFonts w:ascii="Aptos" w:cs="Aptos" w:eastAsia="Aptos" w:hAnsi="Aptos"/>
                <w:b/>
                <w:bCs/>
                <w:sz w:val="19"/>
                <w:szCs w:val="19"/>
              </w:rPr>
              <w:t xml:space="preserve">Curriculum area / subject</w:t>
            </w:r>
          </w:p>
        </w:tc>
        <w:tc>
          <w:tcPr>
            <w:tcW w:type="dxa" w:w="5700"/>
            <w:tcMar>
              <w:top w:type="dxa" w:w="70"/>
              <w:left w:type="dxa" w:w="110"/>
              <w:bottom w:type="dxa" w:w="70"/>
              <w:right w:type="dxa" w:w="110"/>
            </w:tcMar>
          </w:tcPr>
          <w:p>
            <w:pPr>
              <w:spacing w:after="0"/>
            </w:pPr>
            <w:r>
              <w:rPr>
                <w:rFonts w:ascii="Aptos" w:cs="Aptos" w:eastAsia="Aptos" w:hAnsi="Aptos"/>
                <w:sz w:val="19"/>
                <w:szCs w:val="19"/>
              </w:rPr>
              <w:t xml:space="preserve">Language – English</w:t>
            </w:r>
          </w:p>
        </w:tc>
        <w:tc>
          <w:tcPr>
            <w:tcW w:type="dxa" w:w="700"/>
            <w:tcMar>
              <w:top w:type="dxa" w:w="70"/>
              <w:left w:type="dxa" w:w="110"/>
              <w:bottom w:type="dxa" w:w="70"/>
              <w:right w:type="dxa" w:w="110"/>
            </w:tcMar>
          </w:tcPr>
          <w:p>
            <w:pPr>
              <w:spacing w:after="0"/>
            </w:pPr>
            <w:r>
              <w:rPr>
                <w:rFonts w:ascii="Aptos" w:cs="Aptos" w:eastAsia="Aptos" w:hAnsi="Aptos"/>
                <w:sz w:val="19"/>
                <w:szCs w:val="19"/>
              </w:rPr>
              <w:t xml:space="preserve"/>
            </w:r>
          </w:p>
        </w:tc>
      </w:tr>
      <w:tr>
        <w:tc>
          <w:tcPr>
            <w:tcW w:type="dxa" w:w="2200"/>
            <w:tcMar>
              <w:top w:type="dxa" w:w="70"/>
              <w:left w:type="dxa" w:w="110"/>
              <w:bottom w:type="dxa" w:w="70"/>
              <w:right w:type="dxa" w:w="110"/>
            </w:tcMar>
          </w:tcPr>
          <w:p>
            <w:pPr>
              <w:spacing w:after="0"/>
            </w:pPr>
            <w:r>
              <w:rPr>
                <w:rFonts w:ascii="Aptos" w:cs="Aptos" w:eastAsia="Aptos" w:hAnsi="Aptos"/>
                <w:b/>
                <w:bCs/>
                <w:sz w:val="19"/>
                <w:szCs w:val="19"/>
              </w:rPr>
              <w:t xml:space="preserve">Strand / Strand Unit</w:t>
            </w:r>
          </w:p>
        </w:tc>
        <w:tc>
          <w:tcPr>
            <w:tcW w:type="dxa" w:w="5700"/>
            <w:tcMar>
              <w:top w:type="dxa" w:w="70"/>
              <w:left w:type="dxa" w:w="110"/>
              <w:bottom w:type="dxa" w:w="70"/>
              <w:right w:type="dxa" w:w="110"/>
            </w:tcMar>
          </w:tcPr>
          <w:p>
            <w:pPr>
              <w:spacing w:after="0"/>
            </w:pPr>
            <w:r>
              <w:rPr>
                <w:rFonts w:ascii="Aptos" w:cs="Aptos" w:eastAsia="Aptos" w:hAnsi="Aptos"/>
                <w:sz w:val="19"/>
                <w:szCs w:val="19"/>
              </w:rPr>
              <w:t xml:space="preserve">Reading; Oral language</w:t>
            </w:r>
          </w:p>
        </w:tc>
        <w:tc>
          <w:tcPr>
            <w:tcW w:type="dxa" w:w="700"/>
            <w:tcMar>
              <w:top w:type="dxa" w:w="70"/>
              <w:left w:type="dxa" w:w="110"/>
              <w:bottom w:type="dxa" w:w="70"/>
              <w:right w:type="dxa" w:w="110"/>
            </w:tcMar>
          </w:tcPr>
          <w:p>
            <w:pPr>
              <w:spacing w:after="0"/>
            </w:pPr>
            <w:r>
              <w:rPr>
                <w:rFonts w:ascii="Aptos" w:cs="Aptos" w:eastAsia="Aptos" w:hAnsi="Aptos"/>
                <w:sz w:val="19"/>
                <w:szCs w:val="19"/>
              </w:rPr>
              <w:t xml:space="preserve"/>
            </w:r>
          </w:p>
        </w:tc>
      </w:tr>
      <w:tr>
        <w:tc>
          <w:tcPr>
            <w:tcW w:type="dxa" w:w="2200"/>
            <w:tcMar>
              <w:top w:type="dxa" w:w="70"/>
              <w:left w:type="dxa" w:w="110"/>
              <w:bottom w:type="dxa" w:w="70"/>
              <w:right w:type="dxa" w:w="110"/>
            </w:tcMar>
          </w:tcPr>
          <w:p>
            <w:pPr>
              <w:spacing w:after="0"/>
            </w:pPr>
            <w:r>
              <w:rPr>
                <w:rFonts w:ascii="Aptos" w:cs="Aptos" w:eastAsia="Aptos" w:hAnsi="Aptos"/>
                <w:b/>
                <w:bCs/>
                <w:sz w:val="19"/>
                <w:szCs w:val="19"/>
              </w:rPr>
              <w:t xml:space="preserve">Issue focus</w:t>
            </w:r>
          </w:p>
        </w:tc>
        <w:tc>
          <w:tcPr>
            <w:tcW w:type="dxa" w:w="5700"/>
            <w:tcMar>
              <w:top w:type="dxa" w:w="70"/>
              <w:left w:type="dxa" w:w="110"/>
              <w:bottom w:type="dxa" w:w="70"/>
              <w:right w:type="dxa" w:w="110"/>
            </w:tcMar>
          </w:tcPr>
          <w:p>
            <w:pPr>
              <w:spacing w:after="0"/>
            </w:pPr>
            <w:r>
              <w:rPr>
                <w:rFonts w:ascii="Aptos" w:cs="Aptos" w:eastAsia="Aptos" w:hAnsi="Aptos"/>
                <w:sz w:val="19"/>
                <w:szCs w:val="19"/>
              </w:rPr>
              <w:t xml:space="preserve">Every section of Issue 155 – news reports, history, geography, science, art, music, sport and biography.</w:t>
            </w:r>
          </w:p>
        </w:tc>
        <w:tc>
          <w:tcPr>
            <w:tcW w:type="dxa" w:w="700"/>
            <w:tcMar>
              <w:top w:type="dxa" w:w="70"/>
              <w:left w:type="dxa" w:w="110"/>
              <w:bottom w:type="dxa" w:w="70"/>
              <w:right w:type="dxa" w:w="110"/>
            </w:tcMar>
          </w:tcPr>
          <w:p>
            <w:pPr>
              <w:spacing w:after="0"/>
            </w:pPr>
            <w:r>
              <w:rPr>
                <w:rFonts w:ascii="Aptos" w:cs="Aptos" w:eastAsia="Aptos" w:hAnsi="Aptos"/>
                <w:sz w:val="19"/>
                <w:szCs w:val="19"/>
              </w:rPr>
              <w:t xml:space="preserve"/>
            </w:r>
          </w:p>
        </w:tc>
      </w:tr>
      <w:tr>
        <w:tc>
          <w:tcPr>
            <w:tcW w:type="dxa" w:w="2200"/>
            <w:tcMar>
              <w:top w:type="dxa" w:w="70"/>
              <w:left w:type="dxa" w:w="110"/>
              <w:bottom w:type="dxa" w:w="70"/>
              <w:right w:type="dxa" w:w="110"/>
            </w:tcMar>
          </w:tcPr>
          <w:p>
            <w:pPr>
              <w:spacing w:after="0"/>
            </w:pPr>
            <w:r>
              <w:rPr>
                <w:rFonts w:ascii="Aptos" w:cs="Aptos" w:eastAsia="Aptos" w:hAnsi="Aptos"/>
                <w:b/>
                <w:bCs/>
                <w:sz w:val="19"/>
                <w:szCs w:val="19"/>
              </w:rPr>
              <w:t xml:space="preserve">Relevant Stage 4 learning outcomes</w:t>
            </w:r>
          </w:p>
        </w:tc>
        <w:tc>
          <w:tcPr>
            <w:tcW w:type="dxa" w:w="5700"/>
            <w:tcMar>
              <w:top w:type="dxa" w:w="70"/>
              <w:left w:type="dxa" w:w="110"/>
              <w:bottom w:type="dxa" w:w="70"/>
              <w:right w:type="dxa" w:w="110"/>
            </w:tcMar>
          </w:tcPr>
          <w:p>
            <w:pPr>
              <w:spacing w:after="80"/>
              <w:ind w:left="200" w:hanging="200"/>
            </w:pPr>
            <w:r>
              <w:rPr>
                <w:rFonts w:ascii="Aptos" w:cs="Aptos" w:eastAsia="Aptos" w:hAnsi="Aptos"/>
                <w:sz w:val="19"/>
                <w:szCs w:val="19"/>
              </w:rPr>
              <w:t xml:space="preserve">•  Reading, Engagement: develop their interest in and enjoyment of literature and reading in a variety of genres across the curriculum; engage with texts of increasing complexity, and discover and explore texts in various languages.</w:t>
            </w:r>
          </w:p>
          <w:p>
            <w:pPr>
              <w:spacing w:after="80"/>
              <w:ind w:left="200" w:hanging="200"/>
            </w:pPr>
            <w:r>
              <w:rPr>
                <w:rFonts w:ascii="Aptos" w:cs="Aptos" w:eastAsia="Aptos" w:hAnsi="Aptos"/>
                <w:sz w:val="19"/>
                <w:szCs w:val="19"/>
              </w:rPr>
              <w:t xml:space="preserve">•  Reading, Comprehension: choose, justify, and apply comprehension strategies to engage with text in a variety of genres across the curriculum, independently or collaboratively, and continue to draw on background knowledge; compare and synthesize information, thoughts, and ideas from a variety of text sources.</w:t>
            </w:r>
          </w:p>
          <w:p>
            <w:pPr>
              <w:spacing w:after="0"/>
              <w:ind w:left="200" w:hanging="200"/>
            </w:pPr>
            <w:r>
              <w:rPr>
                <w:rFonts w:ascii="Aptos" w:cs="Aptos" w:eastAsia="Aptos" w:hAnsi="Aptos"/>
                <w:sz w:val="19"/>
                <w:szCs w:val="19"/>
              </w:rPr>
              <w:t xml:space="preserve">•  Oral Language, Vocabulary: critically select and use a wide-ranging, complex oral vocabulary, phrases and figurative language for familiar, abstract and subject-specific concepts and topics, as appropriate to audience and purpose.</w:t>
            </w:r>
          </w:p>
        </w:tc>
        <w:tc>
          <w:tcPr>
            <w:tcW w:type="dxa" w:w="700"/>
            <w:tcMar>
              <w:top w:type="dxa" w:w="70"/>
              <w:left w:type="dxa" w:w="110"/>
              <w:bottom w:type="dxa" w:w="70"/>
              <w:right w:type="dxa" w:w="110"/>
            </w:tcMar>
          </w:tcPr>
          <w:p>
            <w:pPr>
              <w:spacing w:after="0"/>
            </w:pPr>
            <w:r>
              <w:rPr>
                <w:rFonts w:ascii="Aptos" w:cs="Aptos" w:eastAsia="Aptos" w:hAnsi="Aptos"/>
                <w:sz w:val="19"/>
                <w:szCs w:val="19"/>
              </w:rPr>
              <w:t xml:space="preserve"/>
            </w:r>
          </w:p>
        </w:tc>
      </w:tr>
      <w:tr>
        <w:tc>
          <w:tcPr>
            <w:tcW w:type="dxa" w:w="2200"/>
            <w:tcMar>
              <w:top w:type="dxa" w:w="70"/>
              <w:left w:type="dxa" w:w="110"/>
              <w:bottom w:type="dxa" w:w="70"/>
              <w:right w:type="dxa" w:w="110"/>
            </w:tcMar>
          </w:tcPr>
          <w:p>
            <w:pPr>
              <w:spacing w:after="0"/>
            </w:pPr>
            <w:r>
              <w:rPr>
                <w:rFonts w:ascii="Aptos" w:cs="Aptos" w:eastAsia="Aptos" w:hAnsi="Aptos"/>
                <w:b/>
                <w:bCs/>
                <w:sz w:val="19"/>
                <w:szCs w:val="19"/>
              </w:rPr>
              <w:t xml:space="preserve">Integration</w:t>
            </w:r>
          </w:p>
        </w:tc>
        <w:tc>
          <w:tcPr>
            <w:tcW w:type="dxa" w:w="5700"/>
            <w:tcMar>
              <w:top w:type="dxa" w:w="70"/>
              <w:left w:type="dxa" w:w="110"/>
              <w:bottom w:type="dxa" w:w="70"/>
              <w:right w:type="dxa" w:w="110"/>
            </w:tcMar>
          </w:tcPr>
          <w:p>
            <w:pPr>
              <w:spacing w:after="0"/>
            </w:pPr>
            <w:r>
              <w:rPr>
                <w:rFonts w:ascii="Aptos" w:cs="Aptos" w:eastAsia="Aptos" w:hAnsi="Aptos"/>
                <w:sz w:val="19"/>
                <w:szCs w:val="19"/>
              </w:rPr>
              <w:t xml:space="preserve">The Resource Pack activities Fill in the Blanks, All the Mistakes, Word Workout, Quiz 32, What’s in the News and Know Your Sport all draw directly on these outcomes.</w:t>
            </w:r>
          </w:p>
        </w:tc>
        <w:tc>
          <w:tcPr>
            <w:tcW w:type="dxa" w:w="700"/>
            <w:tcMar>
              <w:top w:type="dxa" w:w="70"/>
              <w:left w:type="dxa" w:w="110"/>
              <w:bottom w:type="dxa" w:w="70"/>
              <w:right w:type="dxa" w:w="110"/>
            </w:tcMar>
          </w:tcPr>
          <w:p>
            <w:pPr>
              <w:spacing w:after="0"/>
            </w:pPr>
            <w:r>
              <w:rPr>
                <w:rFonts w:ascii="Aptos" w:cs="Aptos" w:eastAsia="Aptos" w:hAnsi="Aptos"/>
                <w:sz w:val="19"/>
                <w:szCs w:val="19"/>
              </w:rPr>
              <w:t xml:space="preserve"/>
            </w:r>
          </w:p>
        </w:tc>
      </w:tr>
    </w:tbl>
    <w:p>
      <w:pPr>
        <w:pBdr>
          <w:bottom w:val="single" w:color="999999" w:sz="4" w:space="6"/>
        </w:pBdr>
        <w:spacing w:after="110" w:before="320"/>
      </w:pPr>
      <w:r>
        <w:rPr>
          <w:rFonts w:ascii="Aptos" w:cs="Aptos" w:eastAsia="Aptos" w:hAnsi="Aptos"/>
          <w:b/>
          <w:bCs/>
          <w:sz w:val="23"/>
          <w:szCs w:val="23"/>
        </w:rPr>
        <w:t xml:space="preserve">THE BIG STORY – READING IS EVERYWHERE (page 3)</w:t>
      </w:r>
    </w:p>
    <w:tbl>
      <w:tblPr>
        <w:tblW w:type="dxa" w:w="8600"/>
        <w:tblBorders>
          <w:top w:val="single" w:color="000000" w:sz="4"/>
          <w:left w:val="single" w:color="000000" w:sz="4"/>
          <w:bottom w:val="single" w:color="000000" w:sz="4"/>
          <w:right w:val="single" w:color="000000" w:sz="4"/>
          <w:insideH w:val="single" w:color="000000" w:sz="4"/>
          <w:insideV w:val="single" w:color="000000" w:sz="4"/>
        </w:tblBorders>
      </w:tblPr>
      <w:tblGrid>
        <w:gridCol w:w="2200"/>
        <w:gridCol w:w="5700"/>
        <w:gridCol w:w="700"/>
      </w:tblGrid>
      <w:tr>
        <w:tc>
          <w:tcPr>
            <w:tcW w:type="dxa" w:w="2200"/>
            <w:tcMar>
              <w:top w:type="dxa" w:w="70"/>
              <w:left w:type="dxa" w:w="110"/>
              <w:bottom w:type="dxa" w:w="70"/>
              <w:right w:type="dxa" w:w="110"/>
            </w:tcMar>
          </w:tcPr>
          <w:p>
            <w:pPr>
              <w:spacing w:after="0"/>
            </w:pPr>
            <w:r>
              <w:rPr>
                <w:rFonts w:ascii="Aptos" w:cs="Aptos" w:eastAsia="Aptos" w:hAnsi="Aptos"/>
                <w:b/>
                <w:bCs/>
                <w:sz w:val="19"/>
                <w:szCs w:val="19"/>
              </w:rPr>
              <w:t xml:space="preserve">Curriculum area / subject</w:t>
            </w:r>
          </w:p>
        </w:tc>
        <w:tc>
          <w:tcPr>
            <w:tcW w:type="dxa" w:w="5700"/>
            <w:tcMar>
              <w:top w:type="dxa" w:w="70"/>
              <w:left w:type="dxa" w:w="110"/>
              <w:bottom w:type="dxa" w:w="70"/>
              <w:right w:type="dxa" w:w="110"/>
            </w:tcMar>
          </w:tcPr>
          <w:p>
            <w:pPr>
              <w:spacing w:after="0"/>
            </w:pPr>
            <w:r>
              <w:rPr>
                <w:rFonts w:ascii="Aptos" w:cs="Aptos" w:eastAsia="Aptos" w:hAnsi="Aptos"/>
                <w:sz w:val="19"/>
                <w:szCs w:val="19"/>
              </w:rPr>
              <w:t xml:space="preserve">Language – English; STEM Education – Mathematics</w:t>
            </w:r>
          </w:p>
        </w:tc>
        <w:tc>
          <w:tcPr>
            <w:tcW w:type="dxa" w:w="700"/>
            <w:tcMar>
              <w:top w:type="dxa" w:w="70"/>
              <w:left w:type="dxa" w:w="110"/>
              <w:bottom w:type="dxa" w:w="70"/>
              <w:right w:type="dxa" w:w="110"/>
            </w:tcMar>
          </w:tcPr>
          <w:p>
            <w:pPr>
              <w:spacing w:after="0"/>
            </w:pPr>
            <w:r>
              <w:rPr>
                <w:rFonts w:ascii="Aptos" w:cs="Aptos" w:eastAsia="Aptos" w:hAnsi="Aptos"/>
                <w:sz w:val="19"/>
                <w:szCs w:val="19"/>
              </w:rPr>
              <w:t xml:space="preserve"/>
            </w:r>
          </w:p>
        </w:tc>
      </w:tr>
      <w:tr>
        <w:tc>
          <w:tcPr>
            <w:tcW w:type="dxa" w:w="2200"/>
            <w:tcMar>
              <w:top w:type="dxa" w:w="70"/>
              <w:left w:type="dxa" w:w="110"/>
              <w:bottom w:type="dxa" w:w="70"/>
              <w:right w:type="dxa" w:w="110"/>
            </w:tcMar>
          </w:tcPr>
          <w:p>
            <w:pPr>
              <w:spacing w:after="0"/>
            </w:pPr>
            <w:r>
              <w:rPr>
                <w:rFonts w:ascii="Aptos" w:cs="Aptos" w:eastAsia="Aptos" w:hAnsi="Aptos"/>
                <w:b/>
                <w:bCs/>
                <w:sz w:val="19"/>
                <w:szCs w:val="19"/>
              </w:rPr>
              <w:t xml:space="preserve">Strand / Strand Unit</w:t>
            </w:r>
          </w:p>
        </w:tc>
        <w:tc>
          <w:tcPr>
            <w:tcW w:type="dxa" w:w="5700"/>
            <w:tcMar>
              <w:top w:type="dxa" w:w="70"/>
              <w:left w:type="dxa" w:w="110"/>
              <w:bottom w:type="dxa" w:w="70"/>
              <w:right w:type="dxa" w:w="110"/>
            </w:tcMar>
          </w:tcPr>
          <w:p>
            <w:pPr>
              <w:spacing w:after="0"/>
            </w:pPr>
            <w:r>
              <w:rPr>
                <w:rFonts w:ascii="Aptos" w:cs="Aptos" w:eastAsia="Aptos" w:hAnsi="Aptos"/>
                <w:sz w:val="19"/>
                <w:szCs w:val="19"/>
              </w:rPr>
              <w:t xml:space="preserve">Reading; Oral language. Mathematics: Data and chance.</w:t>
            </w:r>
          </w:p>
        </w:tc>
        <w:tc>
          <w:tcPr>
            <w:tcW w:type="dxa" w:w="700"/>
            <w:tcMar>
              <w:top w:type="dxa" w:w="70"/>
              <w:left w:type="dxa" w:w="110"/>
              <w:bottom w:type="dxa" w:w="70"/>
              <w:right w:type="dxa" w:w="110"/>
            </w:tcMar>
          </w:tcPr>
          <w:p>
            <w:pPr>
              <w:spacing w:after="0"/>
            </w:pPr>
            <w:r>
              <w:rPr>
                <w:rFonts w:ascii="Aptos" w:cs="Aptos" w:eastAsia="Aptos" w:hAnsi="Aptos"/>
                <w:sz w:val="19"/>
                <w:szCs w:val="19"/>
              </w:rPr>
              <w:t xml:space="preserve"/>
            </w:r>
          </w:p>
        </w:tc>
      </w:tr>
      <w:tr>
        <w:tc>
          <w:tcPr>
            <w:tcW w:type="dxa" w:w="2200"/>
            <w:tcMar>
              <w:top w:type="dxa" w:w="70"/>
              <w:left w:type="dxa" w:w="110"/>
              <w:bottom w:type="dxa" w:w="70"/>
              <w:right w:type="dxa" w:w="110"/>
            </w:tcMar>
          </w:tcPr>
          <w:p>
            <w:pPr>
              <w:spacing w:after="0"/>
            </w:pPr>
            <w:r>
              <w:rPr>
                <w:rFonts w:ascii="Aptos" w:cs="Aptos" w:eastAsia="Aptos" w:hAnsi="Aptos"/>
                <w:b/>
                <w:bCs/>
                <w:sz w:val="19"/>
                <w:szCs w:val="19"/>
              </w:rPr>
              <w:t xml:space="preserve">Issue focus</w:t>
            </w:r>
          </w:p>
        </w:tc>
        <w:tc>
          <w:tcPr>
            <w:tcW w:type="dxa" w:w="5700"/>
            <w:tcMar>
              <w:top w:type="dxa" w:w="70"/>
              <w:left w:type="dxa" w:w="110"/>
              <w:bottom w:type="dxa" w:w="70"/>
              <w:right w:type="dxa" w:w="110"/>
            </w:tcMar>
          </w:tcPr>
          <w:p>
            <w:pPr>
              <w:spacing w:after="0"/>
            </w:pPr>
            <w:r>
              <w:rPr>
                <w:rFonts w:ascii="Aptos" w:cs="Aptos" w:eastAsia="Aptos" w:hAnsi="Aptos"/>
                <w:sz w:val="19"/>
                <w:szCs w:val="19"/>
              </w:rPr>
              <w:t xml:space="preserve">The PISA 2025 study of 760,000 students in 91 countries, Ireland’s average reading score of 500 against an OECD average of 461, what deep reading does to the brain, and advice for reluctant readers.</w:t>
            </w:r>
          </w:p>
        </w:tc>
        <w:tc>
          <w:tcPr>
            <w:tcW w:type="dxa" w:w="700"/>
            <w:tcMar>
              <w:top w:type="dxa" w:w="70"/>
              <w:left w:type="dxa" w:w="110"/>
              <w:bottom w:type="dxa" w:w="70"/>
              <w:right w:type="dxa" w:w="110"/>
            </w:tcMar>
          </w:tcPr>
          <w:p>
            <w:pPr>
              <w:spacing w:after="0"/>
            </w:pPr>
            <w:r>
              <w:rPr>
                <w:rFonts w:ascii="Aptos" w:cs="Aptos" w:eastAsia="Aptos" w:hAnsi="Aptos"/>
                <w:sz w:val="19"/>
                <w:szCs w:val="19"/>
              </w:rPr>
              <w:t xml:space="preserve"/>
            </w:r>
          </w:p>
        </w:tc>
      </w:tr>
      <w:tr>
        <w:tc>
          <w:tcPr>
            <w:tcW w:type="dxa" w:w="2200"/>
            <w:tcMar>
              <w:top w:type="dxa" w:w="70"/>
              <w:left w:type="dxa" w:w="110"/>
              <w:bottom w:type="dxa" w:w="70"/>
              <w:right w:type="dxa" w:w="110"/>
            </w:tcMar>
          </w:tcPr>
          <w:p>
            <w:pPr>
              <w:spacing w:after="0"/>
            </w:pPr>
            <w:r>
              <w:rPr>
                <w:rFonts w:ascii="Aptos" w:cs="Aptos" w:eastAsia="Aptos" w:hAnsi="Aptos"/>
                <w:b/>
                <w:bCs/>
                <w:sz w:val="19"/>
                <w:szCs w:val="19"/>
              </w:rPr>
              <w:t xml:space="preserve">Relevant Stage 4 learning outcomes</w:t>
            </w:r>
          </w:p>
        </w:tc>
        <w:tc>
          <w:tcPr>
            <w:tcW w:type="dxa" w:w="5700"/>
            <w:tcMar>
              <w:top w:type="dxa" w:w="70"/>
              <w:left w:type="dxa" w:w="110"/>
              <w:bottom w:type="dxa" w:w="70"/>
              <w:right w:type="dxa" w:w="110"/>
            </w:tcMar>
          </w:tcPr>
          <w:p>
            <w:pPr>
              <w:spacing w:after="80"/>
              <w:ind w:left="200" w:hanging="200"/>
            </w:pPr>
            <w:r>
              <w:rPr>
                <w:rFonts w:ascii="Aptos" w:cs="Aptos" w:eastAsia="Aptos" w:hAnsi="Aptos"/>
                <w:sz w:val="19"/>
                <w:szCs w:val="19"/>
              </w:rPr>
              <w:t xml:space="preserve">•  Reading, Motivation and choice: choose, read and critically respond to texts in a range of genres and languages across the curriculum for pleasure, interest and specific purposes.</w:t>
            </w:r>
          </w:p>
          <w:p>
            <w:pPr>
              <w:spacing w:after="80"/>
              <w:ind w:left="200" w:hanging="200"/>
            </w:pPr>
            <w:r>
              <w:rPr>
                <w:rFonts w:ascii="Aptos" w:cs="Aptos" w:eastAsia="Aptos" w:hAnsi="Aptos"/>
                <w:sz w:val="19"/>
                <w:szCs w:val="19"/>
              </w:rPr>
              <w:t xml:space="preserve">•  Mathematics, Data and Chance: critically analyse and evaluate findings; and communicate inferences, conclusions and implications from the findings.</w:t>
            </w:r>
          </w:p>
          <w:p>
            <w:pPr>
              <w:spacing w:after="0"/>
              <w:ind w:left="200" w:hanging="200"/>
            </w:pPr>
            <w:r>
              <w:rPr>
                <w:rFonts w:ascii="Aptos" w:cs="Aptos" w:eastAsia="Aptos" w:hAnsi="Aptos"/>
                <w:sz w:val="19"/>
                <w:szCs w:val="19"/>
              </w:rPr>
              <w:t xml:space="preserve">•  Oral Language, Information giving, explanation and justification: analyse and select information to communicate ideas and opinions for a variety of purposes, such as informing, debating, explaining, justifying and persuading.</w:t>
            </w:r>
          </w:p>
        </w:tc>
        <w:tc>
          <w:tcPr>
            <w:tcW w:type="dxa" w:w="700"/>
            <w:tcMar>
              <w:top w:type="dxa" w:w="70"/>
              <w:left w:type="dxa" w:w="110"/>
              <w:bottom w:type="dxa" w:w="70"/>
              <w:right w:type="dxa" w:w="110"/>
            </w:tcMar>
          </w:tcPr>
          <w:p>
            <w:pPr>
              <w:spacing w:after="0"/>
            </w:pPr>
            <w:r>
              <w:rPr>
                <w:rFonts w:ascii="Aptos" w:cs="Aptos" w:eastAsia="Aptos" w:hAnsi="Aptos"/>
                <w:sz w:val="19"/>
                <w:szCs w:val="19"/>
              </w:rPr>
              <w:t xml:space="preserve"/>
            </w:r>
          </w:p>
        </w:tc>
      </w:tr>
      <w:tr>
        <w:tc>
          <w:tcPr>
            <w:tcW w:type="dxa" w:w="2200"/>
            <w:tcMar>
              <w:top w:type="dxa" w:w="70"/>
              <w:left w:type="dxa" w:w="110"/>
              <w:bottom w:type="dxa" w:w="70"/>
              <w:right w:type="dxa" w:w="110"/>
            </w:tcMar>
          </w:tcPr>
          <w:p>
            <w:pPr>
              <w:spacing w:after="0"/>
            </w:pPr>
            <w:r>
              <w:rPr>
                <w:rFonts w:ascii="Aptos" w:cs="Aptos" w:eastAsia="Aptos" w:hAnsi="Aptos"/>
                <w:b/>
                <w:bCs/>
                <w:sz w:val="19"/>
                <w:szCs w:val="19"/>
              </w:rPr>
              <w:t xml:space="preserve">Integration</w:t>
            </w:r>
          </w:p>
        </w:tc>
        <w:tc>
          <w:tcPr>
            <w:tcW w:type="dxa" w:w="5700"/>
            <w:tcMar>
              <w:top w:type="dxa" w:w="70"/>
              <w:left w:type="dxa" w:w="110"/>
              <w:bottom w:type="dxa" w:w="70"/>
              <w:right w:type="dxa" w:w="110"/>
            </w:tcMar>
          </w:tcPr>
          <w:p>
            <w:pPr>
              <w:spacing w:after="0"/>
            </w:pPr>
            <w:r>
              <w:rPr>
                <w:rFonts w:ascii="Aptos" w:cs="Aptos" w:eastAsia="Aptos" w:hAnsi="Aptos"/>
                <w:sz w:val="19"/>
                <w:szCs w:val="19"/>
              </w:rPr>
              <w:t xml:space="preserve">Whole-school – reading for pleasure and library time. SPHE – screen habits and attention.</w:t>
            </w:r>
          </w:p>
        </w:tc>
        <w:tc>
          <w:tcPr>
            <w:tcW w:type="dxa" w:w="700"/>
            <w:tcMar>
              <w:top w:type="dxa" w:w="70"/>
              <w:left w:type="dxa" w:w="110"/>
              <w:bottom w:type="dxa" w:w="70"/>
              <w:right w:type="dxa" w:w="110"/>
            </w:tcMar>
          </w:tcPr>
          <w:p>
            <w:pPr>
              <w:spacing w:after="0"/>
            </w:pPr>
            <w:r>
              <w:rPr>
                <w:rFonts w:ascii="Aptos" w:cs="Aptos" w:eastAsia="Aptos" w:hAnsi="Aptos"/>
                <w:sz w:val="19"/>
                <w:szCs w:val="19"/>
              </w:rPr>
              <w:t xml:space="preserve"/>
            </w:r>
          </w:p>
        </w:tc>
      </w:tr>
    </w:tbl>
    <w:p>
      <w:pPr>
        <w:pBdr>
          <w:bottom w:val="single" w:color="999999" w:sz="4" w:space="6"/>
        </w:pBdr>
        <w:spacing w:after="110" w:before="320"/>
      </w:pPr>
      <w:r>
        <w:rPr>
          <w:rFonts w:ascii="Aptos" w:cs="Aptos" w:eastAsia="Aptos" w:hAnsi="Aptos"/>
          <w:b/>
          <w:bCs/>
          <w:sz w:val="23"/>
          <w:szCs w:val="23"/>
        </w:rPr>
        <w:t xml:space="preserve">NATIONAL NEWS (pages 4 and 5)</w:t>
      </w:r>
    </w:p>
    <w:tbl>
      <w:tblPr>
        <w:tblW w:type="dxa" w:w="8600"/>
        <w:tblBorders>
          <w:top w:val="single" w:color="000000" w:sz="4"/>
          <w:left w:val="single" w:color="000000" w:sz="4"/>
          <w:bottom w:val="single" w:color="000000" w:sz="4"/>
          <w:right w:val="single" w:color="000000" w:sz="4"/>
          <w:insideH w:val="single" w:color="000000" w:sz="4"/>
          <w:insideV w:val="single" w:color="000000" w:sz="4"/>
        </w:tblBorders>
      </w:tblPr>
      <w:tblGrid>
        <w:gridCol w:w="2200"/>
        <w:gridCol w:w="5700"/>
        <w:gridCol w:w="700"/>
      </w:tblGrid>
      <w:tr>
        <w:tc>
          <w:tcPr>
            <w:tcW w:type="dxa" w:w="2200"/>
            <w:tcMar>
              <w:top w:type="dxa" w:w="70"/>
              <w:left w:type="dxa" w:w="110"/>
              <w:bottom w:type="dxa" w:w="70"/>
              <w:right w:type="dxa" w:w="110"/>
            </w:tcMar>
          </w:tcPr>
          <w:p>
            <w:pPr>
              <w:spacing w:after="0"/>
            </w:pPr>
            <w:r>
              <w:rPr>
                <w:rFonts w:ascii="Aptos" w:cs="Aptos" w:eastAsia="Aptos" w:hAnsi="Aptos"/>
                <w:b/>
                <w:bCs/>
                <w:sz w:val="19"/>
                <w:szCs w:val="19"/>
              </w:rPr>
              <w:t xml:space="preserve">Curriculum area / subject</w:t>
            </w:r>
          </w:p>
        </w:tc>
        <w:tc>
          <w:tcPr>
            <w:tcW w:type="dxa" w:w="5700"/>
            <w:tcMar>
              <w:top w:type="dxa" w:w="70"/>
              <w:left w:type="dxa" w:w="110"/>
              <w:bottom w:type="dxa" w:w="70"/>
              <w:right w:type="dxa" w:w="110"/>
            </w:tcMar>
          </w:tcPr>
          <w:p>
            <w:pPr>
              <w:spacing w:after="0"/>
            </w:pPr>
            <w:r>
              <w:rPr>
                <w:rFonts w:ascii="Aptos" w:cs="Aptos" w:eastAsia="Aptos" w:hAnsi="Aptos"/>
                <w:sz w:val="19"/>
                <w:szCs w:val="19"/>
              </w:rPr>
              <w:t xml:space="preserve">Language – English; Social and Environmental Education – Geography; Wellbeing – SPHE</w:t>
            </w:r>
          </w:p>
        </w:tc>
        <w:tc>
          <w:tcPr>
            <w:tcW w:type="dxa" w:w="700"/>
            <w:tcMar>
              <w:top w:type="dxa" w:w="70"/>
              <w:left w:type="dxa" w:w="110"/>
              <w:bottom w:type="dxa" w:w="70"/>
              <w:right w:type="dxa" w:w="110"/>
            </w:tcMar>
          </w:tcPr>
          <w:p>
            <w:pPr>
              <w:spacing w:after="0"/>
            </w:pPr>
            <w:r>
              <w:rPr>
                <w:rFonts w:ascii="Aptos" w:cs="Aptos" w:eastAsia="Aptos" w:hAnsi="Aptos"/>
                <w:sz w:val="19"/>
                <w:szCs w:val="19"/>
              </w:rPr>
              <w:t xml:space="preserve"/>
            </w:r>
          </w:p>
        </w:tc>
      </w:tr>
      <w:tr>
        <w:tc>
          <w:tcPr>
            <w:tcW w:type="dxa" w:w="2200"/>
            <w:tcMar>
              <w:top w:type="dxa" w:w="70"/>
              <w:left w:type="dxa" w:w="110"/>
              <w:bottom w:type="dxa" w:w="70"/>
              <w:right w:type="dxa" w:w="110"/>
            </w:tcMar>
          </w:tcPr>
          <w:p>
            <w:pPr>
              <w:spacing w:after="0"/>
            </w:pPr>
            <w:r>
              <w:rPr>
                <w:rFonts w:ascii="Aptos" w:cs="Aptos" w:eastAsia="Aptos" w:hAnsi="Aptos"/>
                <w:b/>
                <w:bCs/>
                <w:sz w:val="19"/>
                <w:szCs w:val="19"/>
              </w:rPr>
              <w:t xml:space="preserve">Strand / Strand Unit</w:t>
            </w:r>
          </w:p>
        </w:tc>
        <w:tc>
          <w:tcPr>
            <w:tcW w:type="dxa" w:w="5700"/>
            <w:tcMar>
              <w:top w:type="dxa" w:w="70"/>
              <w:left w:type="dxa" w:w="110"/>
              <w:bottom w:type="dxa" w:w="70"/>
              <w:right w:type="dxa" w:w="110"/>
            </w:tcMar>
          </w:tcPr>
          <w:p>
            <w:pPr>
              <w:spacing w:after="0"/>
            </w:pPr>
            <w:r>
              <w:rPr>
                <w:rFonts w:ascii="Aptos" w:cs="Aptos" w:eastAsia="Aptos" w:hAnsi="Aptos"/>
                <w:sz w:val="19"/>
                <w:szCs w:val="19"/>
              </w:rPr>
              <w:t xml:space="preserve">Reading; Oral language. SEE: Environment and sustainable living; Human environments. Wellbeing: Health education.</w:t>
            </w:r>
          </w:p>
        </w:tc>
        <w:tc>
          <w:tcPr>
            <w:tcW w:type="dxa" w:w="700"/>
            <w:tcMar>
              <w:top w:type="dxa" w:w="70"/>
              <w:left w:type="dxa" w:w="110"/>
              <w:bottom w:type="dxa" w:w="70"/>
              <w:right w:type="dxa" w:w="110"/>
            </w:tcMar>
          </w:tcPr>
          <w:p>
            <w:pPr>
              <w:spacing w:after="0"/>
            </w:pPr>
            <w:r>
              <w:rPr>
                <w:rFonts w:ascii="Aptos" w:cs="Aptos" w:eastAsia="Aptos" w:hAnsi="Aptos"/>
                <w:sz w:val="19"/>
                <w:szCs w:val="19"/>
              </w:rPr>
              <w:t xml:space="preserve"/>
            </w:r>
          </w:p>
        </w:tc>
      </w:tr>
      <w:tr>
        <w:tc>
          <w:tcPr>
            <w:tcW w:type="dxa" w:w="2200"/>
            <w:tcMar>
              <w:top w:type="dxa" w:w="70"/>
              <w:left w:type="dxa" w:w="110"/>
              <w:bottom w:type="dxa" w:w="70"/>
              <w:right w:type="dxa" w:w="110"/>
            </w:tcMar>
          </w:tcPr>
          <w:p>
            <w:pPr>
              <w:spacing w:after="0"/>
            </w:pPr>
            <w:r>
              <w:rPr>
                <w:rFonts w:ascii="Aptos" w:cs="Aptos" w:eastAsia="Aptos" w:hAnsi="Aptos"/>
                <w:b/>
                <w:bCs/>
                <w:sz w:val="19"/>
                <w:szCs w:val="19"/>
              </w:rPr>
              <w:t xml:space="preserve">Issue focus</w:t>
            </w:r>
          </w:p>
        </w:tc>
        <w:tc>
          <w:tcPr>
            <w:tcW w:type="dxa" w:w="5700"/>
            <w:tcMar>
              <w:top w:type="dxa" w:w="70"/>
              <w:left w:type="dxa" w:w="110"/>
              <w:bottom w:type="dxa" w:w="70"/>
              <w:right w:type="dxa" w:w="110"/>
            </w:tcMar>
          </w:tcPr>
          <w:p>
            <w:pPr>
              <w:spacing w:after="0"/>
            </w:pPr>
            <w:r>
              <w:rPr>
                <w:rFonts w:ascii="Aptos" w:cs="Aptos" w:eastAsia="Aptos" w:hAnsi="Aptos"/>
                <w:sz w:val="19"/>
                <w:szCs w:val="19"/>
              </w:rPr>
              <w:t xml:space="preserve">The proposed cold-lunch option in the hot school meals programme, the Irish Times/Ipsos B&amp;A poll on Budget priorities, and the 17,885 people in emergency accommodation in August 2026.</w:t>
            </w:r>
          </w:p>
        </w:tc>
        <w:tc>
          <w:tcPr>
            <w:tcW w:type="dxa" w:w="700"/>
            <w:tcMar>
              <w:top w:type="dxa" w:w="70"/>
              <w:left w:type="dxa" w:w="110"/>
              <w:bottom w:type="dxa" w:w="70"/>
              <w:right w:type="dxa" w:w="110"/>
            </w:tcMar>
          </w:tcPr>
          <w:p>
            <w:pPr>
              <w:spacing w:after="0"/>
            </w:pPr>
            <w:r>
              <w:rPr>
                <w:rFonts w:ascii="Aptos" w:cs="Aptos" w:eastAsia="Aptos" w:hAnsi="Aptos"/>
                <w:sz w:val="19"/>
                <w:szCs w:val="19"/>
              </w:rPr>
              <w:t xml:space="preserve"/>
            </w:r>
          </w:p>
        </w:tc>
      </w:tr>
      <w:tr>
        <w:tc>
          <w:tcPr>
            <w:tcW w:type="dxa" w:w="2200"/>
            <w:tcMar>
              <w:top w:type="dxa" w:w="70"/>
              <w:left w:type="dxa" w:w="110"/>
              <w:bottom w:type="dxa" w:w="70"/>
              <w:right w:type="dxa" w:w="110"/>
            </w:tcMar>
          </w:tcPr>
          <w:p>
            <w:pPr>
              <w:spacing w:after="0"/>
            </w:pPr>
            <w:r>
              <w:rPr>
                <w:rFonts w:ascii="Aptos" w:cs="Aptos" w:eastAsia="Aptos" w:hAnsi="Aptos"/>
                <w:b/>
                <w:bCs/>
                <w:sz w:val="19"/>
                <w:szCs w:val="19"/>
              </w:rPr>
              <w:t xml:space="preserve">Relevant Stage 4 learning outcomes</w:t>
            </w:r>
          </w:p>
        </w:tc>
        <w:tc>
          <w:tcPr>
            <w:tcW w:type="dxa" w:w="5700"/>
            <w:tcMar>
              <w:top w:type="dxa" w:w="70"/>
              <w:left w:type="dxa" w:w="110"/>
              <w:bottom w:type="dxa" w:w="70"/>
              <w:right w:type="dxa" w:w="110"/>
            </w:tcMar>
          </w:tcPr>
          <w:p>
            <w:pPr>
              <w:spacing w:after="80"/>
              <w:ind w:left="200" w:hanging="200"/>
            </w:pPr>
            <w:r>
              <w:rPr>
                <w:rFonts w:ascii="Aptos" w:cs="Aptos" w:eastAsia="Aptos" w:hAnsi="Aptos"/>
                <w:sz w:val="19"/>
                <w:szCs w:val="19"/>
              </w:rPr>
              <w:t xml:space="preserve">•  SEE Geography, My locality: identify and develop an understanding of the services in the community for which the local government and community groups are responsible.</w:t>
            </w:r>
          </w:p>
          <w:p>
            <w:pPr>
              <w:spacing w:after="80"/>
              <w:ind w:left="200" w:hanging="200"/>
            </w:pPr>
            <w:r>
              <w:rPr>
                <w:rFonts w:ascii="Aptos" w:cs="Aptos" w:eastAsia="Aptos" w:hAnsi="Aptos"/>
                <w:sz w:val="19"/>
                <w:szCs w:val="19"/>
              </w:rPr>
              <w:t xml:space="preserve">•  SEE History, The island of Ireland: demonstrate an understanding of Ireland’s political system, for example the Houses of the Oireachtas – Dáil Éireann and Seanad Éireann, the role of the President, how elections work and the role of Teachtaí Dála and/or the Irish Constitution.</w:t>
            </w:r>
          </w:p>
          <w:p>
            <w:pPr>
              <w:spacing w:after="0"/>
              <w:ind w:left="200" w:hanging="200"/>
            </w:pPr>
            <w:r>
              <w:rPr>
                <w:rFonts w:ascii="Aptos" w:cs="Aptos" w:eastAsia="Aptos" w:hAnsi="Aptos"/>
                <w:sz w:val="19"/>
                <w:szCs w:val="19"/>
              </w:rPr>
              <w:t xml:space="preserve">•  Wellbeing, Health education: demonstrate a positive attitude towards nurturing their wellbeing in areas such as physical activity, outdoor experiences, food, hygiene, sleep, rest and relaxation, appreciating the importance of a balanced lifestyle and acknowledging changing needs as they grow.</w:t>
            </w:r>
          </w:p>
        </w:tc>
        <w:tc>
          <w:tcPr>
            <w:tcW w:type="dxa" w:w="700"/>
            <w:tcMar>
              <w:top w:type="dxa" w:w="70"/>
              <w:left w:type="dxa" w:w="110"/>
              <w:bottom w:type="dxa" w:w="70"/>
              <w:right w:type="dxa" w:w="110"/>
            </w:tcMar>
          </w:tcPr>
          <w:p>
            <w:pPr>
              <w:spacing w:after="0"/>
            </w:pPr>
            <w:r>
              <w:rPr>
                <w:rFonts w:ascii="Aptos" w:cs="Aptos" w:eastAsia="Aptos" w:hAnsi="Aptos"/>
                <w:sz w:val="19"/>
                <w:szCs w:val="19"/>
              </w:rPr>
              <w:t xml:space="preserve"/>
            </w:r>
          </w:p>
        </w:tc>
      </w:tr>
      <w:tr>
        <w:tc>
          <w:tcPr>
            <w:tcW w:type="dxa" w:w="2200"/>
            <w:tcMar>
              <w:top w:type="dxa" w:w="70"/>
              <w:left w:type="dxa" w:w="110"/>
              <w:bottom w:type="dxa" w:w="70"/>
              <w:right w:type="dxa" w:w="110"/>
            </w:tcMar>
          </w:tcPr>
          <w:p>
            <w:pPr>
              <w:spacing w:after="0"/>
            </w:pPr>
            <w:r>
              <w:rPr>
                <w:rFonts w:ascii="Aptos" w:cs="Aptos" w:eastAsia="Aptos" w:hAnsi="Aptos"/>
                <w:b/>
                <w:bCs/>
                <w:sz w:val="19"/>
                <w:szCs w:val="19"/>
              </w:rPr>
              <w:t xml:space="preserve">Integration</w:t>
            </w:r>
          </w:p>
        </w:tc>
        <w:tc>
          <w:tcPr>
            <w:tcW w:type="dxa" w:w="5700"/>
            <w:tcMar>
              <w:top w:type="dxa" w:w="70"/>
              <w:left w:type="dxa" w:w="110"/>
              <w:bottom w:type="dxa" w:w="70"/>
              <w:right w:type="dxa" w:w="110"/>
            </w:tcMar>
          </w:tcPr>
          <w:p>
            <w:pPr>
              <w:spacing w:after="0"/>
            </w:pPr>
            <w:r>
              <w:rPr>
                <w:rFonts w:ascii="Aptos" w:cs="Aptos" w:eastAsia="Aptos" w:hAnsi="Aptos"/>
                <w:sz w:val="19"/>
                <w:szCs w:val="19"/>
              </w:rPr>
              <w:t xml:space="preserve">Mathematics – interpreting percentages from the poll. Language – opinion and argument writing.</w:t>
            </w:r>
          </w:p>
        </w:tc>
        <w:tc>
          <w:tcPr>
            <w:tcW w:type="dxa" w:w="700"/>
            <w:tcMar>
              <w:top w:type="dxa" w:w="70"/>
              <w:left w:type="dxa" w:w="110"/>
              <w:bottom w:type="dxa" w:w="70"/>
              <w:right w:type="dxa" w:w="110"/>
            </w:tcMar>
          </w:tcPr>
          <w:p>
            <w:pPr>
              <w:spacing w:after="0"/>
            </w:pPr>
            <w:r>
              <w:rPr>
                <w:rFonts w:ascii="Aptos" w:cs="Aptos" w:eastAsia="Aptos" w:hAnsi="Aptos"/>
                <w:sz w:val="19"/>
                <w:szCs w:val="19"/>
              </w:rPr>
              <w:t xml:space="preserve"/>
            </w:r>
          </w:p>
        </w:tc>
      </w:tr>
    </w:tbl>
    <w:p>
      <w:pPr>
        <w:pBdr>
          <w:bottom w:val="single" w:color="999999" w:sz="4" w:space="6"/>
        </w:pBdr>
        <w:spacing w:after="110" w:before="320"/>
      </w:pPr>
      <w:r>
        <w:rPr>
          <w:rFonts w:ascii="Aptos" w:cs="Aptos" w:eastAsia="Aptos" w:hAnsi="Aptos"/>
          <w:b/>
          <w:bCs/>
          <w:sz w:val="23"/>
          <w:szCs w:val="23"/>
        </w:rPr>
        <w:t xml:space="preserve">INTERNATIONAL NEWS (pages 6 and 7)</w:t>
      </w:r>
    </w:p>
    <w:tbl>
      <w:tblPr>
        <w:tblW w:type="dxa" w:w="8600"/>
        <w:tblBorders>
          <w:top w:val="single" w:color="000000" w:sz="4"/>
          <w:left w:val="single" w:color="000000" w:sz="4"/>
          <w:bottom w:val="single" w:color="000000" w:sz="4"/>
          <w:right w:val="single" w:color="000000" w:sz="4"/>
          <w:insideH w:val="single" w:color="000000" w:sz="4"/>
          <w:insideV w:val="single" w:color="000000" w:sz="4"/>
        </w:tblBorders>
      </w:tblPr>
      <w:tblGrid>
        <w:gridCol w:w="2200"/>
        <w:gridCol w:w="5700"/>
        <w:gridCol w:w="700"/>
      </w:tblGrid>
      <w:tr>
        <w:tc>
          <w:tcPr>
            <w:tcW w:type="dxa" w:w="2200"/>
            <w:tcMar>
              <w:top w:type="dxa" w:w="70"/>
              <w:left w:type="dxa" w:w="110"/>
              <w:bottom w:type="dxa" w:w="70"/>
              <w:right w:type="dxa" w:w="110"/>
            </w:tcMar>
          </w:tcPr>
          <w:p>
            <w:pPr>
              <w:spacing w:after="0"/>
            </w:pPr>
            <w:r>
              <w:rPr>
                <w:rFonts w:ascii="Aptos" w:cs="Aptos" w:eastAsia="Aptos" w:hAnsi="Aptos"/>
                <w:b/>
                <w:bCs/>
                <w:sz w:val="19"/>
                <w:szCs w:val="19"/>
              </w:rPr>
              <w:t xml:space="preserve">Curriculum area / subject</w:t>
            </w:r>
          </w:p>
        </w:tc>
        <w:tc>
          <w:tcPr>
            <w:tcW w:type="dxa" w:w="5700"/>
            <w:tcMar>
              <w:top w:type="dxa" w:w="70"/>
              <w:left w:type="dxa" w:w="110"/>
              <w:bottom w:type="dxa" w:w="70"/>
              <w:right w:type="dxa" w:w="110"/>
            </w:tcMar>
          </w:tcPr>
          <w:p>
            <w:pPr>
              <w:spacing w:after="0"/>
            </w:pPr>
            <w:r>
              <w:rPr>
                <w:rFonts w:ascii="Aptos" w:cs="Aptos" w:eastAsia="Aptos" w:hAnsi="Aptos"/>
                <w:sz w:val="19"/>
                <w:szCs w:val="19"/>
              </w:rPr>
              <w:t xml:space="preserve">Social and Environmental Education – Geography; STEM Education – Technology</w:t>
            </w:r>
          </w:p>
        </w:tc>
        <w:tc>
          <w:tcPr>
            <w:tcW w:type="dxa" w:w="700"/>
            <w:tcMar>
              <w:top w:type="dxa" w:w="70"/>
              <w:left w:type="dxa" w:w="110"/>
              <w:bottom w:type="dxa" w:w="70"/>
              <w:right w:type="dxa" w:w="110"/>
            </w:tcMar>
          </w:tcPr>
          <w:p>
            <w:pPr>
              <w:spacing w:after="0"/>
            </w:pPr>
            <w:r>
              <w:rPr>
                <w:rFonts w:ascii="Aptos" w:cs="Aptos" w:eastAsia="Aptos" w:hAnsi="Aptos"/>
                <w:sz w:val="19"/>
                <w:szCs w:val="19"/>
              </w:rPr>
              <w:t xml:space="preserve"/>
            </w:r>
          </w:p>
        </w:tc>
      </w:tr>
      <w:tr>
        <w:tc>
          <w:tcPr>
            <w:tcW w:type="dxa" w:w="2200"/>
            <w:tcMar>
              <w:top w:type="dxa" w:w="70"/>
              <w:left w:type="dxa" w:w="110"/>
              <w:bottom w:type="dxa" w:w="70"/>
              <w:right w:type="dxa" w:w="110"/>
            </w:tcMar>
          </w:tcPr>
          <w:p>
            <w:pPr>
              <w:spacing w:after="0"/>
            </w:pPr>
            <w:r>
              <w:rPr>
                <w:rFonts w:ascii="Aptos" w:cs="Aptos" w:eastAsia="Aptos" w:hAnsi="Aptos"/>
                <w:b/>
                <w:bCs/>
                <w:sz w:val="19"/>
                <w:szCs w:val="19"/>
              </w:rPr>
              <w:t xml:space="preserve">Strand / Strand Unit</w:t>
            </w:r>
          </w:p>
        </w:tc>
        <w:tc>
          <w:tcPr>
            <w:tcW w:type="dxa" w:w="5700"/>
            <w:tcMar>
              <w:top w:type="dxa" w:w="70"/>
              <w:left w:type="dxa" w:w="110"/>
              <w:bottom w:type="dxa" w:w="70"/>
              <w:right w:type="dxa" w:w="110"/>
            </w:tcMar>
          </w:tcPr>
          <w:p>
            <w:pPr>
              <w:spacing w:after="0"/>
            </w:pPr>
            <w:r>
              <w:rPr>
                <w:rFonts w:ascii="Aptos" w:cs="Aptos" w:eastAsia="Aptos" w:hAnsi="Aptos"/>
                <w:sz w:val="19"/>
                <w:szCs w:val="19"/>
              </w:rPr>
              <w:t xml:space="preserve">Europe and the wider world / People and places. STEM: Nature of STEM; Technology.</w:t>
            </w:r>
          </w:p>
        </w:tc>
        <w:tc>
          <w:tcPr>
            <w:tcW w:type="dxa" w:w="700"/>
            <w:tcMar>
              <w:top w:type="dxa" w:w="70"/>
              <w:left w:type="dxa" w:w="110"/>
              <w:bottom w:type="dxa" w:w="70"/>
              <w:right w:type="dxa" w:w="110"/>
            </w:tcMar>
          </w:tcPr>
          <w:p>
            <w:pPr>
              <w:spacing w:after="0"/>
            </w:pPr>
            <w:r>
              <w:rPr>
                <w:rFonts w:ascii="Aptos" w:cs="Aptos" w:eastAsia="Aptos" w:hAnsi="Aptos"/>
                <w:sz w:val="19"/>
                <w:szCs w:val="19"/>
              </w:rPr>
              <w:t xml:space="preserve"/>
            </w:r>
          </w:p>
        </w:tc>
      </w:tr>
      <w:tr>
        <w:tc>
          <w:tcPr>
            <w:tcW w:type="dxa" w:w="2200"/>
            <w:tcMar>
              <w:top w:type="dxa" w:w="70"/>
              <w:left w:type="dxa" w:w="110"/>
              <w:bottom w:type="dxa" w:w="70"/>
              <w:right w:type="dxa" w:w="110"/>
            </w:tcMar>
          </w:tcPr>
          <w:p>
            <w:pPr>
              <w:spacing w:after="0"/>
            </w:pPr>
            <w:r>
              <w:rPr>
                <w:rFonts w:ascii="Aptos" w:cs="Aptos" w:eastAsia="Aptos" w:hAnsi="Aptos"/>
                <w:b/>
                <w:bCs/>
                <w:sz w:val="19"/>
                <w:szCs w:val="19"/>
              </w:rPr>
              <w:t xml:space="preserve">Issue focus</w:t>
            </w:r>
          </w:p>
        </w:tc>
        <w:tc>
          <w:tcPr>
            <w:tcW w:type="dxa" w:w="5700"/>
            <w:tcMar>
              <w:top w:type="dxa" w:w="70"/>
              <w:left w:type="dxa" w:w="110"/>
              <w:bottom w:type="dxa" w:w="70"/>
              <w:right w:type="dxa" w:w="110"/>
            </w:tcMar>
          </w:tcPr>
          <w:p>
            <w:pPr>
              <w:spacing w:after="0"/>
            </w:pPr>
            <w:r>
              <w:rPr>
                <w:rFonts w:ascii="Aptos" w:cs="Aptos" w:eastAsia="Aptos" w:hAnsi="Aptos"/>
                <w:sz w:val="19"/>
                <w:szCs w:val="19"/>
              </w:rPr>
              <w:t xml:space="preserve">The United Nations resolution on equal-area maps and the Equal Earth projection, the rapid rise of artificial intelligence, Anderson Taylor’s record-breaking museum, and the AI-generated actress Tilly.</w:t>
            </w:r>
          </w:p>
        </w:tc>
        <w:tc>
          <w:tcPr>
            <w:tcW w:type="dxa" w:w="700"/>
            <w:tcMar>
              <w:top w:type="dxa" w:w="70"/>
              <w:left w:type="dxa" w:w="110"/>
              <w:bottom w:type="dxa" w:w="70"/>
              <w:right w:type="dxa" w:w="110"/>
            </w:tcMar>
          </w:tcPr>
          <w:p>
            <w:pPr>
              <w:spacing w:after="0"/>
            </w:pPr>
            <w:r>
              <w:rPr>
                <w:rFonts w:ascii="Aptos" w:cs="Aptos" w:eastAsia="Aptos" w:hAnsi="Aptos"/>
                <w:sz w:val="19"/>
                <w:szCs w:val="19"/>
              </w:rPr>
              <w:t xml:space="preserve"/>
            </w:r>
          </w:p>
        </w:tc>
      </w:tr>
      <w:tr>
        <w:tc>
          <w:tcPr>
            <w:tcW w:type="dxa" w:w="2200"/>
            <w:tcMar>
              <w:top w:type="dxa" w:w="70"/>
              <w:left w:type="dxa" w:w="110"/>
              <w:bottom w:type="dxa" w:w="70"/>
              <w:right w:type="dxa" w:w="110"/>
            </w:tcMar>
          </w:tcPr>
          <w:p>
            <w:pPr>
              <w:spacing w:after="0"/>
            </w:pPr>
            <w:r>
              <w:rPr>
                <w:rFonts w:ascii="Aptos" w:cs="Aptos" w:eastAsia="Aptos" w:hAnsi="Aptos"/>
                <w:b/>
                <w:bCs/>
                <w:sz w:val="19"/>
                <w:szCs w:val="19"/>
              </w:rPr>
              <w:t xml:space="preserve">Relevant Stage 4 learning outcomes</w:t>
            </w:r>
          </w:p>
        </w:tc>
        <w:tc>
          <w:tcPr>
            <w:tcW w:type="dxa" w:w="5700"/>
            <w:tcMar>
              <w:top w:type="dxa" w:w="70"/>
              <w:left w:type="dxa" w:w="110"/>
              <w:bottom w:type="dxa" w:w="70"/>
              <w:right w:type="dxa" w:w="110"/>
            </w:tcMar>
          </w:tcPr>
          <w:p>
            <w:pPr>
              <w:spacing w:after="80"/>
              <w:ind w:left="200" w:hanging="200"/>
            </w:pPr>
            <w:r>
              <w:rPr>
                <w:rFonts w:ascii="Aptos" w:cs="Aptos" w:eastAsia="Aptos" w:hAnsi="Aptos"/>
                <w:sz w:val="19"/>
                <w:szCs w:val="19"/>
              </w:rPr>
              <w:t xml:space="preserve">•  SEE Geography, Europe and the wider world: examine evidence and draw conclusions about social, economic, political and/or environmental issues.</w:t>
            </w:r>
          </w:p>
          <w:p>
            <w:pPr>
              <w:spacing w:after="80"/>
              <w:ind w:left="200" w:hanging="200"/>
            </w:pPr>
            <w:r>
              <w:rPr>
                <w:rFonts w:ascii="Aptos" w:cs="Aptos" w:eastAsia="Aptos" w:hAnsi="Aptos"/>
                <w:sz w:val="19"/>
                <w:szCs w:val="19"/>
              </w:rPr>
              <w:t xml:space="preserve">•  STE Technology: identify and discuss the main components of at least one digital system and how it operates. Explore and identify the inputs, processes and outputs of this system.</w:t>
            </w:r>
          </w:p>
          <w:p>
            <w:pPr>
              <w:spacing w:after="0"/>
              <w:ind w:left="200" w:hanging="200"/>
            </w:pPr>
            <w:r>
              <w:rPr>
                <w:rFonts w:ascii="Aptos" w:cs="Aptos" w:eastAsia="Aptos" w:hAnsi="Aptos"/>
                <w:sz w:val="19"/>
                <w:szCs w:val="19"/>
              </w:rPr>
              <w:t xml:space="preserve">•  Reading, Response and author’s intent: compare, contrast and critically reflect on the intent of different authors and discuss various interpretations of text in a wide range of genres.</w:t>
            </w:r>
          </w:p>
        </w:tc>
        <w:tc>
          <w:tcPr>
            <w:tcW w:type="dxa" w:w="700"/>
            <w:tcMar>
              <w:top w:type="dxa" w:w="70"/>
              <w:left w:type="dxa" w:w="110"/>
              <w:bottom w:type="dxa" w:w="70"/>
              <w:right w:type="dxa" w:w="110"/>
            </w:tcMar>
          </w:tcPr>
          <w:p>
            <w:pPr>
              <w:spacing w:after="0"/>
            </w:pPr>
            <w:r>
              <w:rPr>
                <w:rFonts w:ascii="Aptos" w:cs="Aptos" w:eastAsia="Aptos" w:hAnsi="Aptos"/>
                <w:sz w:val="19"/>
                <w:szCs w:val="19"/>
              </w:rPr>
              <w:t xml:space="preserve"/>
            </w:r>
          </w:p>
        </w:tc>
      </w:tr>
      <w:tr>
        <w:tc>
          <w:tcPr>
            <w:tcW w:type="dxa" w:w="2200"/>
            <w:tcMar>
              <w:top w:type="dxa" w:w="70"/>
              <w:left w:type="dxa" w:w="110"/>
              <w:bottom w:type="dxa" w:w="70"/>
              <w:right w:type="dxa" w:w="110"/>
            </w:tcMar>
          </w:tcPr>
          <w:p>
            <w:pPr>
              <w:spacing w:after="0"/>
            </w:pPr>
            <w:r>
              <w:rPr>
                <w:rFonts w:ascii="Aptos" w:cs="Aptos" w:eastAsia="Aptos" w:hAnsi="Aptos"/>
                <w:b/>
                <w:bCs/>
                <w:sz w:val="19"/>
                <w:szCs w:val="19"/>
              </w:rPr>
              <w:t xml:space="preserve">Integration</w:t>
            </w:r>
          </w:p>
        </w:tc>
        <w:tc>
          <w:tcPr>
            <w:tcW w:type="dxa" w:w="5700"/>
            <w:tcMar>
              <w:top w:type="dxa" w:w="70"/>
              <w:left w:type="dxa" w:w="110"/>
              <w:bottom w:type="dxa" w:w="70"/>
              <w:right w:type="dxa" w:w="110"/>
            </w:tcMar>
          </w:tcPr>
          <w:p>
            <w:pPr>
              <w:spacing w:after="0"/>
            </w:pPr>
            <w:r>
              <w:rPr>
                <w:rFonts w:ascii="Aptos" w:cs="Aptos" w:eastAsia="Aptos" w:hAnsi="Aptos"/>
                <w:sz w:val="19"/>
                <w:szCs w:val="19"/>
              </w:rPr>
              <w:t xml:space="preserve">Visual Arts – map design and distortion. Language – debate: should AI development be slowed down?</w:t>
            </w:r>
          </w:p>
        </w:tc>
        <w:tc>
          <w:tcPr>
            <w:tcW w:type="dxa" w:w="700"/>
            <w:tcMar>
              <w:top w:type="dxa" w:w="70"/>
              <w:left w:type="dxa" w:w="110"/>
              <w:bottom w:type="dxa" w:w="70"/>
              <w:right w:type="dxa" w:w="110"/>
            </w:tcMar>
          </w:tcPr>
          <w:p>
            <w:pPr>
              <w:spacing w:after="0"/>
            </w:pPr>
            <w:r>
              <w:rPr>
                <w:rFonts w:ascii="Aptos" w:cs="Aptos" w:eastAsia="Aptos" w:hAnsi="Aptos"/>
                <w:sz w:val="19"/>
                <w:szCs w:val="19"/>
              </w:rPr>
              <w:t xml:space="preserve"/>
            </w:r>
          </w:p>
        </w:tc>
      </w:tr>
    </w:tbl>
    <w:p>
      <w:pPr>
        <w:pBdr>
          <w:bottom w:val="single" w:color="999999" w:sz="4" w:space="6"/>
        </w:pBdr>
        <w:spacing w:after="110" w:before="320"/>
      </w:pPr>
      <w:r>
        <w:rPr>
          <w:rFonts w:ascii="Aptos" w:cs="Aptos" w:eastAsia="Aptos" w:hAnsi="Aptos"/>
          <w:b/>
          <w:bCs/>
          <w:sz w:val="23"/>
          <w:szCs w:val="23"/>
        </w:rPr>
        <w:t xml:space="preserve">OUR ISLAND’S HISTORY – THE CIVIL WAR (page 8)</w:t>
      </w:r>
    </w:p>
    <w:tbl>
      <w:tblPr>
        <w:tblW w:type="dxa" w:w="8600"/>
        <w:tblBorders>
          <w:top w:val="single" w:color="000000" w:sz="4"/>
          <w:left w:val="single" w:color="000000" w:sz="4"/>
          <w:bottom w:val="single" w:color="000000" w:sz="4"/>
          <w:right w:val="single" w:color="000000" w:sz="4"/>
          <w:insideH w:val="single" w:color="000000" w:sz="4"/>
          <w:insideV w:val="single" w:color="000000" w:sz="4"/>
        </w:tblBorders>
      </w:tblPr>
      <w:tblGrid>
        <w:gridCol w:w="2200"/>
        <w:gridCol w:w="5700"/>
        <w:gridCol w:w="700"/>
      </w:tblGrid>
      <w:tr>
        <w:tc>
          <w:tcPr>
            <w:tcW w:type="dxa" w:w="2200"/>
            <w:tcMar>
              <w:top w:type="dxa" w:w="70"/>
              <w:left w:type="dxa" w:w="110"/>
              <w:bottom w:type="dxa" w:w="70"/>
              <w:right w:type="dxa" w:w="110"/>
            </w:tcMar>
          </w:tcPr>
          <w:p>
            <w:pPr>
              <w:spacing w:after="0"/>
            </w:pPr>
            <w:r>
              <w:rPr>
                <w:rFonts w:ascii="Aptos" w:cs="Aptos" w:eastAsia="Aptos" w:hAnsi="Aptos"/>
                <w:b/>
                <w:bCs/>
                <w:sz w:val="19"/>
                <w:szCs w:val="19"/>
              </w:rPr>
              <w:t xml:space="preserve">Curriculum area / subject</w:t>
            </w:r>
          </w:p>
        </w:tc>
        <w:tc>
          <w:tcPr>
            <w:tcW w:type="dxa" w:w="5700"/>
            <w:tcMar>
              <w:top w:type="dxa" w:w="70"/>
              <w:left w:type="dxa" w:w="110"/>
              <w:bottom w:type="dxa" w:w="70"/>
              <w:right w:type="dxa" w:w="110"/>
            </w:tcMar>
          </w:tcPr>
          <w:p>
            <w:pPr>
              <w:spacing w:after="0"/>
            </w:pPr>
            <w:r>
              <w:rPr>
                <w:rFonts w:ascii="Aptos" w:cs="Aptos" w:eastAsia="Aptos" w:hAnsi="Aptos"/>
                <w:sz w:val="19"/>
                <w:szCs w:val="19"/>
              </w:rPr>
              <w:t xml:space="preserve">Social and Environmental Education – History</w:t>
            </w:r>
          </w:p>
        </w:tc>
        <w:tc>
          <w:tcPr>
            <w:tcW w:type="dxa" w:w="700"/>
            <w:tcMar>
              <w:top w:type="dxa" w:w="70"/>
              <w:left w:type="dxa" w:w="110"/>
              <w:bottom w:type="dxa" w:w="70"/>
              <w:right w:type="dxa" w:w="110"/>
            </w:tcMar>
          </w:tcPr>
          <w:p>
            <w:pPr>
              <w:spacing w:after="0"/>
            </w:pPr>
            <w:r>
              <w:rPr>
                <w:rFonts w:ascii="Aptos" w:cs="Aptos" w:eastAsia="Aptos" w:hAnsi="Aptos"/>
                <w:sz w:val="19"/>
                <w:szCs w:val="19"/>
              </w:rPr>
              <w:t xml:space="preserve"/>
            </w:r>
          </w:p>
        </w:tc>
      </w:tr>
      <w:tr>
        <w:tc>
          <w:tcPr>
            <w:tcW w:type="dxa" w:w="2200"/>
            <w:tcMar>
              <w:top w:type="dxa" w:w="70"/>
              <w:left w:type="dxa" w:w="110"/>
              <w:bottom w:type="dxa" w:w="70"/>
              <w:right w:type="dxa" w:w="110"/>
            </w:tcMar>
          </w:tcPr>
          <w:p>
            <w:pPr>
              <w:spacing w:after="0"/>
            </w:pPr>
            <w:r>
              <w:rPr>
                <w:rFonts w:ascii="Aptos" w:cs="Aptos" w:eastAsia="Aptos" w:hAnsi="Aptos"/>
                <w:b/>
                <w:bCs/>
                <w:sz w:val="19"/>
                <w:szCs w:val="19"/>
              </w:rPr>
              <w:t xml:space="preserve">Strand / Strand Unit</w:t>
            </w:r>
          </w:p>
        </w:tc>
        <w:tc>
          <w:tcPr>
            <w:tcW w:type="dxa" w:w="5700"/>
            <w:tcMar>
              <w:top w:type="dxa" w:w="70"/>
              <w:left w:type="dxa" w:w="110"/>
              <w:bottom w:type="dxa" w:w="70"/>
              <w:right w:type="dxa" w:w="110"/>
            </w:tcMar>
          </w:tcPr>
          <w:p>
            <w:pPr>
              <w:spacing w:after="0"/>
            </w:pPr>
            <w:r>
              <w:rPr>
                <w:rFonts w:ascii="Aptos" w:cs="Aptos" w:eastAsia="Aptos" w:hAnsi="Aptos"/>
                <w:sz w:val="19"/>
                <w:szCs w:val="19"/>
              </w:rPr>
              <w:t xml:space="preserve">The island of Ireland; Continuity and change over time; Working as a historian.</w:t>
            </w:r>
          </w:p>
        </w:tc>
        <w:tc>
          <w:tcPr>
            <w:tcW w:type="dxa" w:w="700"/>
            <w:tcMar>
              <w:top w:type="dxa" w:w="70"/>
              <w:left w:type="dxa" w:w="110"/>
              <w:bottom w:type="dxa" w:w="70"/>
              <w:right w:type="dxa" w:w="110"/>
            </w:tcMar>
          </w:tcPr>
          <w:p>
            <w:pPr>
              <w:spacing w:after="0"/>
            </w:pPr>
            <w:r>
              <w:rPr>
                <w:rFonts w:ascii="Aptos" w:cs="Aptos" w:eastAsia="Aptos" w:hAnsi="Aptos"/>
                <w:sz w:val="19"/>
                <w:szCs w:val="19"/>
              </w:rPr>
              <w:t xml:space="preserve"/>
            </w:r>
          </w:p>
        </w:tc>
      </w:tr>
      <w:tr>
        <w:tc>
          <w:tcPr>
            <w:tcW w:type="dxa" w:w="2200"/>
            <w:tcMar>
              <w:top w:type="dxa" w:w="70"/>
              <w:left w:type="dxa" w:w="110"/>
              <w:bottom w:type="dxa" w:w="70"/>
              <w:right w:type="dxa" w:w="110"/>
            </w:tcMar>
          </w:tcPr>
          <w:p>
            <w:pPr>
              <w:spacing w:after="0"/>
            </w:pPr>
            <w:r>
              <w:rPr>
                <w:rFonts w:ascii="Aptos" w:cs="Aptos" w:eastAsia="Aptos" w:hAnsi="Aptos"/>
                <w:b/>
                <w:bCs/>
                <w:sz w:val="19"/>
                <w:szCs w:val="19"/>
              </w:rPr>
              <w:t xml:space="preserve">Issue focus</w:t>
            </w:r>
          </w:p>
        </w:tc>
        <w:tc>
          <w:tcPr>
            <w:tcW w:type="dxa" w:w="5700"/>
            <w:tcMar>
              <w:top w:type="dxa" w:w="70"/>
              <w:left w:type="dxa" w:w="110"/>
              <w:bottom w:type="dxa" w:w="70"/>
              <w:right w:type="dxa" w:w="110"/>
            </w:tcMar>
          </w:tcPr>
          <w:p>
            <w:pPr>
              <w:spacing w:after="0"/>
            </w:pPr>
            <w:r>
              <w:rPr>
                <w:rFonts w:ascii="Aptos" w:cs="Aptos" w:eastAsia="Aptos" w:hAnsi="Aptos"/>
                <w:sz w:val="19"/>
                <w:szCs w:val="19"/>
              </w:rPr>
              <w:t xml:space="preserve">The split over the Anglo-Irish Treaty, the attack on the Four Courts in June 1922, the death of Michael Collins at Béal na Bláth, Ballyseedy, the founding of the Free State and the order to dump arms in May 1923.</w:t>
            </w:r>
          </w:p>
        </w:tc>
        <w:tc>
          <w:tcPr>
            <w:tcW w:type="dxa" w:w="700"/>
            <w:tcMar>
              <w:top w:type="dxa" w:w="70"/>
              <w:left w:type="dxa" w:w="110"/>
              <w:bottom w:type="dxa" w:w="70"/>
              <w:right w:type="dxa" w:w="110"/>
            </w:tcMar>
          </w:tcPr>
          <w:p>
            <w:pPr>
              <w:spacing w:after="0"/>
            </w:pPr>
            <w:r>
              <w:rPr>
                <w:rFonts w:ascii="Aptos" w:cs="Aptos" w:eastAsia="Aptos" w:hAnsi="Aptos"/>
                <w:sz w:val="19"/>
                <w:szCs w:val="19"/>
              </w:rPr>
              <w:t xml:space="preserve"/>
            </w:r>
          </w:p>
        </w:tc>
      </w:tr>
      <w:tr>
        <w:tc>
          <w:tcPr>
            <w:tcW w:type="dxa" w:w="2200"/>
            <w:tcMar>
              <w:top w:type="dxa" w:w="70"/>
              <w:left w:type="dxa" w:w="110"/>
              <w:bottom w:type="dxa" w:w="70"/>
              <w:right w:type="dxa" w:w="110"/>
            </w:tcMar>
          </w:tcPr>
          <w:p>
            <w:pPr>
              <w:spacing w:after="0"/>
            </w:pPr>
            <w:r>
              <w:rPr>
                <w:rFonts w:ascii="Aptos" w:cs="Aptos" w:eastAsia="Aptos" w:hAnsi="Aptos"/>
                <w:b/>
                <w:bCs/>
                <w:sz w:val="19"/>
                <w:szCs w:val="19"/>
              </w:rPr>
              <w:t xml:space="preserve">Relevant Stage 4 learning outcomes</w:t>
            </w:r>
          </w:p>
        </w:tc>
        <w:tc>
          <w:tcPr>
            <w:tcW w:type="dxa" w:w="5700"/>
            <w:tcMar>
              <w:top w:type="dxa" w:w="70"/>
              <w:left w:type="dxa" w:w="110"/>
              <w:bottom w:type="dxa" w:w="70"/>
              <w:right w:type="dxa" w:w="110"/>
            </w:tcMar>
          </w:tcPr>
          <w:p>
            <w:pPr>
              <w:spacing w:after="80"/>
              <w:ind w:left="200" w:hanging="200"/>
            </w:pPr>
            <w:r>
              <w:rPr>
                <w:rFonts w:ascii="Aptos" w:cs="Aptos" w:eastAsia="Aptos" w:hAnsi="Aptos"/>
                <w:sz w:val="19"/>
                <w:szCs w:val="19"/>
              </w:rPr>
              <w:t xml:space="preserve">•  SEE History, The island of Ireland: explore significant developments and/or conflicts in different eras of Irish history such as during the Neolithic Period, Bronze and Iron Ages, the Early Christian Period, Medieval Period, Early Modern Period and Modern Ireland.</w:t>
            </w:r>
          </w:p>
          <w:p>
            <w:pPr>
              <w:spacing w:after="80"/>
              <w:ind w:left="200" w:hanging="200"/>
            </w:pPr>
            <w:r>
              <w:rPr>
                <w:rFonts w:ascii="Aptos" w:cs="Aptos" w:eastAsia="Aptos" w:hAnsi="Aptos"/>
                <w:sz w:val="19"/>
                <w:szCs w:val="19"/>
              </w:rPr>
              <w:t xml:space="preserve">•  SEE History, The island of Ireland: investigate and critically reflect on an important event(s) in the history of their county.</w:t>
            </w:r>
          </w:p>
          <w:p>
            <w:pPr>
              <w:spacing w:after="0"/>
              <w:ind w:left="200" w:hanging="200"/>
            </w:pPr>
            <w:r>
              <w:rPr>
                <w:rFonts w:ascii="Aptos" w:cs="Aptos" w:eastAsia="Aptos" w:hAnsi="Aptos"/>
                <w:sz w:val="19"/>
                <w:szCs w:val="19"/>
              </w:rPr>
              <w:t xml:space="preserve">•  Oral Language, Description, prediction and reflection: describe, predict, reflect upon and evaluate actions, events, processes, feelings and experiences relating to a wide range of real and imaginary contexts.</w:t>
            </w:r>
          </w:p>
        </w:tc>
        <w:tc>
          <w:tcPr>
            <w:tcW w:type="dxa" w:w="700"/>
            <w:tcMar>
              <w:top w:type="dxa" w:w="70"/>
              <w:left w:type="dxa" w:w="110"/>
              <w:bottom w:type="dxa" w:w="70"/>
              <w:right w:type="dxa" w:w="110"/>
            </w:tcMar>
          </w:tcPr>
          <w:p>
            <w:pPr>
              <w:spacing w:after="0"/>
            </w:pPr>
            <w:r>
              <w:rPr>
                <w:rFonts w:ascii="Aptos" w:cs="Aptos" w:eastAsia="Aptos" w:hAnsi="Aptos"/>
                <w:sz w:val="19"/>
                <w:szCs w:val="19"/>
              </w:rPr>
              <w:t xml:space="preserve"/>
            </w:r>
          </w:p>
        </w:tc>
      </w:tr>
      <w:tr>
        <w:tc>
          <w:tcPr>
            <w:tcW w:type="dxa" w:w="2200"/>
            <w:tcMar>
              <w:top w:type="dxa" w:w="70"/>
              <w:left w:type="dxa" w:w="110"/>
              <w:bottom w:type="dxa" w:w="70"/>
              <w:right w:type="dxa" w:w="110"/>
            </w:tcMar>
          </w:tcPr>
          <w:p>
            <w:pPr>
              <w:spacing w:after="0"/>
            </w:pPr>
            <w:r>
              <w:rPr>
                <w:rFonts w:ascii="Aptos" w:cs="Aptos" w:eastAsia="Aptos" w:hAnsi="Aptos"/>
                <w:b/>
                <w:bCs/>
                <w:sz w:val="19"/>
                <w:szCs w:val="19"/>
              </w:rPr>
              <w:t xml:space="preserve">Integration</w:t>
            </w:r>
          </w:p>
        </w:tc>
        <w:tc>
          <w:tcPr>
            <w:tcW w:type="dxa" w:w="5700"/>
            <w:tcMar>
              <w:top w:type="dxa" w:w="70"/>
              <w:left w:type="dxa" w:w="110"/>
              <w:bottom w:type="dxa" w:w="70"/>
              <w:right w:type="dxa" w:w="110"/>
            </w:tcMar>
          </w:tcPr>
          <w:p>
            <w:pPr>
              <w:spacing w:after="0"/>
            </w:pPr>
            <w:r>
              <w:rPr>
                <w:rFonts w:ascii="Aptos" w:cs="Aptos" w:eastAsia="Aptos" w:hAnsi="Aptos"/>
                <w:sz w:val="19"/>
                <w:szCs w:val="19"/>
              </w:rPr>
              <w:t xml:space="preserve">The Eleven Months lesson and Civil War Timeline Cards in the Resource Pack. Language – persuasive talk and debate.</w:t>
            </w:r>
          </w:p>
        </w:tc>
        <w:tc>
          <w:tcPr>
            <w:tcW w:type="dxa" w:w="700"/>
            <w:tcMar>
              <w:top w:type="dxa" w:w="70"/>
              <w:left w:type="dxa" w:w="110"/>
              <w:bottom w:type="dxa" w:w="70"/>
              <w:right w:type="dxa" w:w="110"/>
            </w:tcMar>
          </w:tcPr>
          <w:p>
            <w:pPr>
              <w:spacing w:after="0"/>
            </w:pPr>
            <w:r>
              <w:rPr>
                <w:rFonts w:ascii="Aptos" w:cs="Aptos" w:eastAsia="Aptos" w:hAnsi="Aptos"/>
                <w:sz w:val="19"/>
                <w:szCs w:val="19"/>
              </w:rPr>
              <w:t xml:space="preserve"/>
            </w:r>
          </w:p>
        </w:tc>
      </w:tr>
    </w:tbl>
    <w:p>
      <w:pPr>
        <w:pBdr>
          <w:bottom w:val="single" w:color="999999" w:sz="4" w:space="6"/>
        </w:pBdr>
        <w:spacing w:after="110" w:before="320"/>
      </w:pPr>
      <w:r>
        <w:rPr>
          <w:rFonts w:ascii="Aptos" w:cs="Aptos" w:eastAsia="Aptos" w:hAnsi="Aptos"/>
          <w:b/>
          <w:bCs/>
          <w:sz w:val="23"/>
          <w:szCs w:val="23"/>
        </w:rPr>
        <w:t xml:space="preserve">HISTORY’S MYSTERIES – LOCH NESS (page 9)</w:t>
      </w:r>
    </w:p>
    <w:tbl>
      <w:tblPr>
        <w:tblW w:type="dxa" w:w="8600"/>
        <w:tblBorders>
          <w:top w:val="single" w:color="000000" w:sz="4"/>
          <w:left w:val="single" w:color="000000" w:sz="4"/>
          <w:bottom w:val="single" w:color="000000" w:sz="4"/>
          <w:right w:val="single" w:color="000000" w:sz="4"/>
          <w:insideH w:val="single" w:color="000000" w:sz="4"/>
          <w:insideV w:val="single" w:color="000000" w:sz="4"/>
        </w:tblBorders>
      </w:tblPr>
      <w:tblGrid>
        <w:gridCol w:w="2200"/>
        <w:gridCol w:w="5700"/>
        <w:gridCol w:w="700"/>
      </w:tblGrid>
      <w:tr>
        <w:tc>
          <w:tcPr>
            <w:tcW w:type="dxa" w:w="2200"/>
            <w:tcMar>
              <w:top w:type="dxa" w:w="70"/>
              <w:left w:type="dxa" w:w="110"/>
              <w:bottom w:type="dxa" w:w="70"/>
              <w:right w:type="dxa" w:w="110"/>
            </w:tcMar>
          </w:tcPr>
          <w:p>
            <w:pPr>
              <w:spacing w:after="0"/>
            </w:pPr>
            <w:r>
              <w:rPr>
                <w:rFonts w:ascii="Aptos" w:cs="Aptos" w:eastAsia="Aptos" w:hAnsi="Aptos"/>
                <w:b/>
                <w:bCs/>
                <w:sz w:val="19"/>
                <w:szCs w:val="19"/>
              </w:rPr>
              <w:t xml:space="preserve">Curriculum area / subject</w:t>
            </w:r>
          </w:p>
        </w:tc>
        <w:tc>
          <w:tcPr>
            <w:tcW w:type="dxa" w:w="5700"/>
            <w:tcMar>
              <w:top w:type="dxa" w:w="70"/>
              <w:left w:type="dxa" w:w="110"/>
              <w:bottom w:type="dxa" w:w="70"/>
              <w:right w:type="dxa" w:w="110"/>
            </w:tcMar>
          </w:tcPr>
          <w:p>
            <w:pPr>
              <w:spacing w:after="0"/>
            </w:pPr>
            <w:r>
              <w:rPr>
                <w:rFonts w:ascii="Aptos" w:cs="Aptos" w:eastAsia="Aptos" w:hAnsi="Aptos"/>
                <w:sz w:val="19"/>
                <w:szCs w:val="19"/>
              </w:rPr>
              <w:t xml:space="preserve">Social and Environmental Education – History; STEM Education – Science</w:t>
            </w:r>
          </w:p>
        </w:tc>
        <w:tc>
          <w:tcPr>
            <w:tcW w:type="dxa" w:w="700"/>
            <w:tcMar>
              <w:top w:type="dxa" w:w="70"/>
              <w:left w:type="dxa" w:w="110"/>
              <w:bottom w:type="dxa" w:w="70"/>
              <w:right w:type="dxa" w:w="110"/>
            </w:tcMar>
          </w:tcPr>
          <w:p>
            <w:pPr>
              <w:spacing w:after="0"/>
            </w:pPr>
            <w:r>
              <w:rPr>
                <w:rFonts w:ascii="Aptos" w:cs="Aptos" w:eastAsia="Aptos" w:hAnsi="Aptos"/>
                <w:sz w:val="19"/>
                <w:szCs w:val="19"/>
              </w:rPr>
              <w:t xml:space="preserve"/>
            </w:r>
          </w:p>
        </w:tc>
      </w:tr>
      <w:tr>
        <w:tc>
          <w:tcPr>
            <w:tcW w:type="dxa" w:w="2200"/>
            <w:tcMar>
              <w:top w:type="dxa" w:w="70"/>
              <w:left w:type="dxa" w:w="110"/>
              <w:bottom w:type="dxa" w:w="70"/>
              <w:right w:type="dxa" w:w="110"/>
            </w:tcMar>
          </w:tcPr>
          <w:p>
            <w:pPr>
              <w:spacing w:after="0"/>
            </w:pPr>
            <w:r>
              <w:rPr>
                <w:rFonts w:ascii="Aptos" w:cs="Aptos" w:eastAsia="Aptos" w:hAnsi="Aptos"/>
                <w:b/>
                <w:bCs/>
                <w:sz w:val="19"/>
                <w:szCs w:val="19"/>
              </w:rPr>
              <w:t xml:space="preserve">Strand / Strand Unit</w:t>
            </w:r>
          </w:p>
        </w:tc>
        <w:tc>
          <w:tcPr>
            <w:tcW w:type="dxa" w:w="5700"/>
            <w:tcMar>
              <w:top w:type="dxa" w:w="70"/>
              <w:left w:type="dxa" w:w="110"/>
              <w:bottom w:type="dxa" w:w="70"/>
              <w:right w:type="dxa" w:w="110"/>
            </w:tcMar>
          </w:tcPr>
          <w:p>
            <w:pPr>
              <w:spacing w:after="0"/>
            </w:pPr>
            <w:r>
              <w:rPr>
                <w:rFonts w:ascii="Aptos" w:cs="Aptos" w:eastAsia="Aptos" w:hAnsi="Aptos"/>
                <w:sz w:val="19"/>
                <w:szCs w:val="19"/>
              </w:rPr>
              <w:t xml:space="preserve">Working as a historian. Science: Living things; Nature of STEM.</w:t>
            </w:r>
          </w:p>
        </w:tc>
        <w:tc>
          <w:tcPr>
            <w:tcW w:type="dxa" w:w="700"/>
            <w:tcMar>
              <w:top w:type="dxa" w:w="70"/>
              <w:left w:type="dxa" w:w="110"/>
              <w:bottom w:type="dxa" w:w="70"/>
              <w:right w:type="dxa" w:w="110"/>
            </w:tcMar>
          </w:tcPr>
          <w:p>
            <w:pPr>
              <w:spacing w:after="0"/>
            </w:pPr>
            <w:r>
              <w:rPr>
                <w:rFonts w:ascii="Aptos" w:cs="Aptos" w:eastAsia="Aptos" w:hAnsi="Aptos"/>
                <w:sz w:val="19"/>
                <w:szCs w:val="19"/>
              </w:rPr>
              <w:t xml:space="preserve"/>
            </w:r>
          </w:p>
        </w:tc>
      </w:tr>
      <w:tr>
        <w:tc>
          <w:tcPr>
            <w:tcW w:type="dxa" w:w="2200"/>
            <w:tcMar>
              <w:top w:type="dxa" w:w="70"/>
              <w:left w:type="dxa" w:w="110"/>
              <w:bottom w:type="dxa" w:w="70"/>
              <w:right w:type="dxa" w:w="110"/>
            </w:tcMar>
          </w:tcPr>
          <w:p>
            <w:pPr>
              <w:spacing w:after="0"/>
            </w:pPr>
            <w:r>
              <w:rPr>
                <w:rFonts w:ascii="Aptos" w:cs="Aptos" w:eastAsia="Aptos" w:hAnsi="Aptos"/>
                <w:b/>
                <w:bCs/>
                <w:sz w:val="19"/>
                <w:szCs w:val="19"/>
              </w:rPr>
              <w:t xml:space="preserve">Issue focus</w:t>
            </w:r>
          </w:p>
        </w:tc>
        <w:tc>
          <w:tcPr>
            <w:tcW w:type="dxa" w:w="5700"/>
            <w:tcMar>
              <w:top w:type="dxa" w:w="70"/>
              <w:left w:type="dxa" w:w="110"/>
              <w:bottom w:type="dxa" w:w="70"/>
              <w:right w:type="dxa" w:w="110"/>
            </w:tcMar>
          </w:tcPr>
          <w:p>
            <w:pPr>
              <w:spacing w:after="0"/>
            </w:pPr>
            <w:r>
              <w:rPr>
                <w:rFonts w:ascii="Aptos" w:cs="Aptos" w:eastAsia="Aptos" w:hAnsi="Aptos"/>
                <w:sz w:val="19"/>
                <w:szCs w:val="19"/>
              </w:rPr>
              <w:t xml:space="preserve">The 1933 sighting, the Surgeon’s Photograph and the hoax behind it, sonar sweeps of the loch, and Professor Neil Gemmell’s environmental DNA study that found eel DNA throughout the water.</w:t>
            </w:r>
          </w:p>
        </w:tc>
        <w:tc>
          <w:tcPr>
            <w:tcW w:type="dxa" w:w="700"/>
            <w:tcMar>
              <w:top w:type="dxa" w:w="70"/>
              <w:left w:type="dxa" w:w="110"/>
              <w:bottom w:type="dxa" w:w="70"/>
              <w:right w:type="dxa" w:w="110"/>
            </w:tcMar>
          </w:tcPr>
          <w:p>
            <w:pPr>
              <w:spacing w:after="0"/>
            </w:pPr>
            <w:r>
              <w:rPr>
                <w:rFonts w:ascii="Aptos" w:cs="Aptos" w:eastAsia="Aptos" w:hAnsi="Aptos"/>
                <w:sz w:val="19"/>
                <w:szCs w:val="19"/>
              </w:rPr>
              <w:t xml:space="preserve"/>
            </w:r>
          </w:p>
        </w:tc>
      </w:tr>
      <w:tr>
        <w:tc>
          <w:tcPr>
            <w:tcW w:type="dxa" w:w="2200"/>
            <w:tcMar>
              <w:top w:type="dxa" w:w="70"/>
              <w:left w:type="dxa" w:w="110"/>
              <w:bottom w:type="dxa" w:w="70"/>
              <w:right w:type="dxa" w:w="110"/>
            </w:tcMar>
          </w:tcPr>
          <w:p>
            <w:pPr>
              <w:spacing w:after="0"/>
            </w:pPr>
            <w:r>
              <w:rPr>
                <w:rFonts w:ascii="Aptos" w:cs="Aptos" w:eastAsia="Aptos" w:hAnsi="Aptos"/>
                <w:b/>
                <w:bCs/>
                <w:sz w:val="19"/>
                <w:szCs w:val="19"/>
              </w:rPr>
              <w:t xml:space="preserve">Relevant Stage 4 learning outcomes</w:t>
            </w:r>
          </w:p>
        </w:tc>
        <w:tc>
          <w:tcPr>
            <w:tcW w:type="dxa" w:w="5700"/>
            <w:tcMar>
              <w:top w:type="dxa" w:w="70"/>
              <w:left w:type="dxa" w:w="110"/>
              <w:bottom w:type="dxa" w:w="70"/>
              <w:right w:type="dxa" w:w="110"/>
            </w:tcMar>
          </w:tcPr>
          <w:p>
            <w:pPr>
              <w:spacing w:after="80"/>
              <w:ind w:left="200" w:hanging="200"/>
            </w:pPr>
            <w:r>
              <w:rPr>
                <w:rFonts w:ascii="Aptos" w:cs="Aptos" w:eastAsia="Aptos" w:hAnsi="Aptos"/>
                <w:sz w:val="19"/>
                <w:szCs w:val="19"/>
              </w:rPr>
              <w:t xml:space="preserve">•  STE Nature of STEM: identify and appreciate the key features of Nature of Science, Nature of Technology and Nature of Engineering. Explore and discuss topical STEM issues in Ireland and in the wider world.</w:t>
            </w:r>
          </w:p>
          <w:p>
            <w:pPr>
              <w:spacing w:after="80"/>
              <w:ind w:left="200" w:hanging="200"/>
            </w:pPr>
            <w:r>
              <w:rPr>
                <w:rFonts w:ascii="Aptos" w:cs="Aptos" w:eastAsia="Aptos" w:hAnsi="Aptos"/>
                <w:sz w:val="19"/>
                <w:szCs w:val="19"/>
              </w:rPr>
              <w:t xml:space="preserve">•  STE Living things: demonstrate an awareness of how learning about Living things connects to the wider field of Biology and other ‘Bio’ fields.</w:t>
            </w:r>
          </w:p>
          <w:p>
            <w:pPr>
              <w:spacing w:after="0"/>
              <w:ind w:left="200" w:hanging="200"/>
            </w:pPr>
            <w:r>
              <w:rPr>
                <w:rFonts w:ascii="Aptos" w:cs="Aptos" w:eastAsia="Aptos" w:hAnsi="Aptos"/>
                <w:sz w:val="19"/>
                <w:szCs w:val="19"/>
              </w:rPr>
              <w:t xml:space="preserve">•  Oral Language, Requests, questions and interactions: select how and when it is appropriate to ask and answer a wide range of question types; open, closed, leading and rhetorical, for an increasing range of complex purposes.</w:t>
            </w:r>
          </w:p>
        </w:tc>
        <w:tc>
          <w:tcPr>
            <w:tcW w:type="dxa" w:w="700"/>
            <w:tcMar>
              <w:top w:type="dxa" w:w="70"/>
              <w:left w:type="dxa" w:w="110"/>
              <w:bottom w:type="dxa" w:w="70"/>
              <w:right w:type="dxa" w:w="110"/>
            </w:tcMar>
          </w:tcPr>
          <w:p>
            <w:pPr>
              <w:spacing w:after="0"/>
            </w:pPr>
            <w:r>
              <w:rPr>
                <w:rFonts w:ascii="Aptos" w:cs="Aptos" w:eastAsia="Aptos" w:hAnsi="Aptos"/>
                <w:sz w:val="19"/>
                <w:szCs w:val="19"/>
              </w:rPr>
              <w:t xml:space="preserve"/>
            </w:r>
          </w:p>
        </w:tc>
      </w:tr>
      <w:tr>
        <w:tc>
          <w:tcPr>
            <w:tcW w:type="dxa" w:w="2200"/>
            <w:tcMar>
              <w:top w:type="dxa" w:w="70"/>
              <w:left w:type="dxa" w:w="110"/>
              <w:bottom w:type="dxa" w:w="70"/>
              <w:right w:type="dxa" w:w="110"/>
            </w:tcMar>
          </w:tcPr>
          <w:p>
            <w:pPr>
              <w:spacing w:after="0"/>
            </w:pPr>
            <w:r>
              <w:rPr>
                <w:rFonts w:ascii="Aptos" w:cs="Aptos" w:eastAsia="Aptos" w:hAnsi="Aptos"/>
                <w:b/>
                <w:bCs/>
                <w:sz w:val="19"/>
                <w:szCs w:val="19"/>
              </w:rPr>
              <w:t xml:space="preserve">Integration</w:t>
            </w:r>
          </w:p>
        </w:tc>
        <w:tc>
          <w:tcPr>
            <w:tcW w:type="dxa" w:w="5700"/>
            <w:tcMar>
              <w:top w:type="dxa" w:w="70"/>
              <w:left w:type="dxa" w:w="110"/>
              <w:bottom w:type="dxa" w:w="70"/>
              <w:right w:type="dxa" w:w="110"/>
            </w:tcMar>
          </w:tcPr>
          <w:p>
            <w:pPr>
              <w:spacing w:after="0"/>
            </w:pPr>
            <w:r>
              <w:rPr>
                <w:rFonts w:ascii="Aptos" w:cs="Aptos" w:eastAsia="Aptos" w:hAnsi="Aptos"/>
                <w:sz w:val="19"/>
                <w:szCs w:val="19"/>
              </w:rPr>
              <w:t xml:space="preserve">Language – forming and defending an argument. Drama – staging an inquiry into the evidence.</w:t>
            </w:r>
          </w:p>
        </w:tc>
        <w:tc>
          <w:tcPr>
            <w:tcW w:type="dxa" w:w="700"/>
            <w:tcMar>
              <w:top w:type="dxa" w:w="70"/>
              <w:left w:type="dxa" w:w="110"/>
              <w:bottom w:type="dxa" w:w="70"/>
              <w:right w:type="dxa" w:w="110"/>
            </w:tcMar>
          </w:tcPr>
          <w:p>
            <w:pPr>
              <w:spacing w:after="0"/>
            </w:pPr>
            <w:r>
              <w:rPr>
                <w:rFonts w:ascii="Aptos" w:cs="Aptos" w:eastAsia="Aptos" w:hAnsi="Aptos"/>
                <w:sz w:val="19"/>
                <w:szCs w:val="19"/>
              </w:rPr>
              <w:t xml:space="preserve"/>
            </w:r>
          </w:p>
        </w:tc>
      </w:tr>
    </w:tbl>
    <w:p>
      <w:pPr>
        <w:pBdr>
          <w:bottom w:val="single" w:color="999999" w:sz="4" w:space="6"/>
        </w:pBdr>
        <w:spacing w:after="110" w:before="320"/>
      </w:pPr>
      <w:r>
        <w:rPr>
          <w:rFonts w:ascii="Aptos" w:cs="Aptos" w:eastAsia="Aptos" w:hAnsi="Aptos"/>
          <w:b/>
          <w:bCs/>
          <w:sz w:val="23"/>
          <w:szCs w:val="23"/>
        </w:rPr>
        <w:t xml:space="preserve">MEDIA MATTERS – THE RULES AND YOUR RIGHTS (pages 10 and 11)</w:t>
      </w:r>
    </w:p>
    <w:tbl>
      <w:tblPr>
        <w:tblW w:type="dxa" w:w="8600"/>
        <w:tblBorders>
          <w:top w:val="single" w:color="000000" w:sz="4"/>
          <w:left w:val="single" w:color="000000" w:sz="4"/>
          <w:bottom w:val="single" w:color="000000" w:sz="4"/>
          <w:right w:val="single" w:color="000000" w:sz="4"/>
          <w:insideH w:val="single" w:color="000000" w:sz="4"/>
          <w:insideV w:val="single" w:color="000000" w:sz="4"/>
        </w:tblBorders>
      </w:tblPr>
      <w:tblGrid>
        <w:gridCol w:w="2200"/>
        <w:gridCol w:w="5700"/>
        <w:gridCol w:w="700"/>
      </w:tblGrid>
      <w:tr>
        <w:tc>
          <w:tcPr>
            <w:tcW w:type="dxa" w:w="2200"/>
            <w:tcMar>
              <w:top w:type="dxa" w:w="70"/>
              <w:left w:type="dxa" w:w="110"/>
              <w:bottom w:type="dxa" w:w="70"/>
              <w:right w:type="dxa" w:w="110"/>
            </w:tcMar>
          </w:tcPr>
          <w:p>
            <w:pPr>
              <w:spacing w:after="0"/>
            </w:pPr>
            <w:r>
              <w:rPr>
                <w:rFonts w:ascii="Aptos" w:cs="Aptos" w:eastAsia="Aptos" w:hAnsi="Aptos"/>
                <w:b/>
                <w:bCs/>
                <w:sz w:val="19"/>
                <w:szCs w:val="19"/>
              </w:rPr>
              <w:t xml:space="preserve">Curriculum area / subject</w:t>
            </w:r>
          </w:p>
        </w:tc>
        <w:tc>
          <w:tcPr>
            <w:tcW w:type="dxa" w:w="5700"/>
            <w:tcMar>
              <w:top w:type="dxa" w:w="70"/>
              <w:left w:type="dxa" w:w="110"/>
              <w:bottom w:type="dxa" w:w="70"/>
              <w:right w:type="dxa" w:w="110"/>
            </w:tcMar>
          </w:tcPr>
          <w:p>
            <w:pPr>
              <w:spacing w:after="0"/>
            </w:pPr>
            <w:r>
              <w:rPr>
                <w:rFonts w:ascii="Aptos" w:cs="Aptos" w:eastAsia="Aptos" w:hAnsi="Aptos"/>
                <w:sz w:val="19"/>
                <w:szCs w:val="19"/>
              </w:rPr>
              <w:t xml:space="preserve">Wellbeing – SPHE; Language – English</w:t>
            </w:r>
          </w:p>
        </w:tc>
        <w:tc>
          <w:tcPr>
            <w:tcW w:type="dxa" w:w="700"/>
            <w:tcMar>
              <w:top w:type="dxa" w:w="70"/>
              <w:left w:type="dxa" w:w="110"/>
              <w:bottom w:type="dxa" w:w="70"/>
              <w:right w:type="dxa" w:w="110"/>
            </w:tcMar>
          </w:tcPr>
          <w:p>
            <w:pPr>
              <w:spacing w:after="0"/>
            </w:pPr>
            <w:r>
              <w:rPr>
                <w:rFonts w:ascii="Aptos" w:cs="Aptos" w:eastAsia="Aptos" w:hAnsi="Aptos"/>
                <w:sz w:val="19"/>
                <w:szCs w:val="19"/>
              </w:rPr>
              <w:t xml:space="preserve"/>
            </w:r>
          </w:p>
        </w:tc>
      </w:tr>
      <w:tr>
        <w:tc>
          <w:tcPr>
            <w:tcW w:type="dxa" w:w="2200"/>
            <w:tcMar>
              <w:top w:type="dxa" w:w="70"/>
              <w:left w:type="dxa" w:w="110"/>
              <w:bottom w:type="dxa" w:w="70"/>
              <w:right w:type="dxa" w:w="110"/>
            </w:tcMar>
          </w:tcPr>
          <w:p>
            <w:pPr>
              <w:spacing w:after="0"/>
            </w:pPr>
            <w:r>
              <w:rPr>
                <w:rFonts w:ascii="Aptos" w:cs="Aptos" w:eastAsia="Aptos" w:hAnsi="Aptos"/>
                <w:b/>
                <w:bCs/>
                <w:sz w:val="19"/>
                <w:szCs w:val="19"/>
              </w:rPr>
              <w:t xml:space="preserve">Strand / Strand Unit</w:t>
            </w:r>
          </w:p>
        </w:tc>
        <w:tc>
          <w:tcPr>
            <w:tcW w:type="dxa" w:w="5700"/>
            <w:tcMar>
              <w:top w:type="dxa" w:w="70"/>
              <w:left w:type="dxa" w:w="110"/>
              <w:bottom w:type="dxa" w:w="70"/>
              <w:right w:type="dxa" w:w="110"/>
            </w:tcMar>
          </w:tcPr>
          <w:p>
            <w:pPr>
              <w:spacing w:after="0"/>
            </w:pPr>
            <w:r>
              <w:rPr>
                <w:rFonts w:ascii="Aptos" w:cs="Aptos" w:eastAsia="Aptos" w:hAnsi="Aptos"/>
                <w:sz w:val="19"/>
                <w:szCs w:val="19"/>
              </w:rPr>
              <w:t xml:space="preserve">Safety and protection / Digital wellbeing. Language: Reading; Oral language.</w:t>
            </w:r>
          </w:p>
        </w:tc>
        <w:tc>
          <w:tcPr>
            <w:tcW w:type="dxa" w:w="700"/>
            <w:tcMar>
              <w:top w:type="dxa" w:w="70"/>
              <w:left w:type="dxa" w:w="110"/>
              <w:bottom w:type="dxa" w:w="70"/>
              <w:right w:type="dxa" w:w="110"/>
            </w:tcMar>
          </w:tcPr>
          <w:p>
            <w:pPr>
              <w:spacing w:after="0"/>
            </w:pPr>
            <w:r>
              <w:rPr>
                <w:rFonts w:ascii="Aptos" w:cs="Aptos" w:eastAsia="Aptos" w:hAnsi="Aptos"/>
                <w:sz w:val="19"/>
                <w:szCs w:val="19"/>
              </w:rPr>
              <w:t xml:space="preserve"/>
            </w:r>
          </w:p>
        </w:tc>
      </w:tr>
      <w:tr>
        <w:tc>
          <w:tcPr>
            <w:tcW w:type="dxa" w:w="2200"/>
            <w:tcMar>
              <w:top w:type="dxa" w:w="70"/>
              <w:left w:type="dxa" w:w="110"/>
              <w:bottom w:type="dxa" w:w="70"/>
              <w:right w:type="dxa" w:w="110"/>
            </w:tcMar>
          </w:tcPr>
          <w:p>
            <w:pPr>
              <w:spacing w:after="0"/>
            </w:pPr>
            <w:r>
              <w:rPr>
                <w:rFonts w:ascii="Aptos" w:cs="Aptos" w:eastAsia="Aptos" w:hAnsi="Aptos"/>
                <w:b/>
                <w:bCs/>
                <w:sz w:val="19"/>
                <w:szCs w:val="19"/>
              </w:rPr>
              <w:t xml:space="preserve">Issue focus</w:t>
            </w:r>
          </w:p>
        </w:tc>
        <w:tc>
          <w:tcPr>
            <w:tcW w:type="dxa" w:w="5700"/>
            <w:tcMar>
              <w:top w:type="dxa" w:w="70"/>
              <w:left w:type="dxa" w:w="110"/>
              <w:bottom w:type="dxa" w:w="70"/>
              <w:right w:type="dxa" w:w="110"/>
            </w:tcMar>
          </w:tcPr>
          <w:p>
            <w:pPr>
              <w:spacing w:after="0"/>
            </w:pPr>
            <w:r>
              <w:rPr>
                <w:rFonts w:ascii="Aptos" w:cs="Aptos" w:eastAsia="Aptos" w:hAnsi="Aptos"/>
                <w:sz w:val="19"/>
                <w:szCs w:val="19"/>
              </w:rPr>
              <w:t xml:space="preserve">The Online Safety Framework, the five online rights, the 13-year age limit on video-sharing platforms, terms and conditions, and the work of Coimisiún na Meán as Ireland’s media regulator.</w:t>
            </w:r>
          </w:p>
        </w:tc>
        <w:tc>
          <w:tcPr>
            <w:tcW w:type="dxa" w:w="700"/>
            <w:tcMar>
              <w:top w:type="dxa" w:w="70"/>
              <w:left w:type="dxa" w:w="110"/>
              <w:bottom w:type="dxa" w:w="70"/>
              <w:right w:type="dxa" w:w="110"/>
            </w:tcMar>
          </w:tcPr>
          <w:p>
            <w:pPr>
              <w:spacing w:after="0"/>
            </w:pPr>
            <w:r>
              <w:rPr>
                <w:rFonts w:ascii="Aptos" w:cs="Aptos" w:eastAsia="Aptos" w:hAnsi="Aptos"/>
                <w:sz w:val="19"/>
                <w:szCs w:val="19"/>
              </w:rPr>
              <w:t xml:space="preserve"/>
            </w:r>
          </w:p>
        </w:tc>
      </w:tr>
      <w:tr>
        <w:tc>
          <w:tcPr>
            <w:tcW w:type="dxa" w:w="2200"/>
            <w:tcMar>
              <w:top w:type="dxa" w:w="70"/>
              <w:left w:type="dxa" w:w="110"/>
              <w:bottom w:type="dxa" w:w="70"/>
              <w:right w:type="dxa" w:w="110"/>
            </w:tcMar>
          </w:tcPr>
          <w:p>
            <w:pPr>
              <w:spacing w:after="0"/>
            </w:pPr>
            <w:r>
              <w:rPr>
                <w:rFonts w:ascii="Aptos" w:cs="Aptos" w:eastAsia="Aptos" w:hAnsi="Aptos"/>
                <w:b/>
                <w:bCs/>
                <w:sz w:val="19"/>
                <w:szCs w:val="19"/>
              </w:rPr>
              <w:t xml:space="preserve">Relevant Stage 4 learning outcomes</w:t>
            </w:r>
          </w:p>
        </w:tc>
        <w:tc>
          <w:tcPr>
            <w:tcW w:type="dxa" w:w="5700"/>
            <w:tcMar>
              <w:top w:type="dxa" w:w="70"/>
              <w:left w:type="dxa" w:w="110"/>
              <w:bottom w:type="dxa" w:w="70"/>
              <w:right w:type="dxa" w:w="110"/>
            </w:tcMar>
          </w:tcPr>
          <w:p>
            <w:pPr>
              <w:spacing w:after="80"/>
              <w:ind w:left="200" w:hanging="200"/>
            </w:pPr>
            <w:r>
              <w:rPr>
                <w:rFonts w:ascii="Aptos" w:cs="Aptos" w:eastAsia="Aptos" w:hAnsi="Aptos"/>
                <w:sz w:val="19"/>
                <w:szCs w:val="19"/>
              </w:rPr>
              <w:t xml:space="preserve">•  Wellbeing, Health education – Media and digital wellbeing: evaluate the benefits and challenges of digital technology use and reflect on the role and influence of media and popular culture in their lives.</w:t>
            </w:r>
          </w:p>
          <w:p>
            <w:pPr>
              <w:spacing w:after="80"/>
              <w:ind w:left="200" w:hanging="200"/>
            </w:pPr>
            <w:r>
              <w:rPr>
                <w:rFonts w:ascii="Aptos" w:cs="Aptos" w:eastAsia="Aptos" w:hAnsi="Aptos"/>
                <w:sz w:val="19"/>
                <w:szCs w:val="19"/>
              </w:rPr>
              <w:t xml:space="preserve">•  Wellbeing, Health education – Media and digital wellbeing: critique depictions of topics in the media, recognising examples of stereotypes and bias and identify strategies to evaluate the credibility of information.</w:t>
            </w:r>
          </w:p>
          <w:p>
            <w:pPr>
              <w:spacing w:after="0"/>
              <w:ind w:left="200" w:hanging="200"/>
            </w:pPr>
            <w:r>
              <w:rPr>
                <w:rFonts w:ascii="Aptos" w:cs="Aptos" w:eastAsia="Aptos" w:hAnsi="Aptos"/>
                <w:sz w:val="19"/>
                <w:szCs w:val="19"/>
              </w:rPr>
              <w:t xml:space="preserve">•  Wellbeing, Health education – Media and digital wellbeing: adopt strategies to promote safe, ethical and responsible use of digital technologies, recognising personal and communal responsibility in fostering a positive, respectful and safer digital environment and understand safe ways to report inappropriate or harmful behaviours or content.</w:t>
            </w:r>
          </w:p>
        </w:tc>
        <w:tc>
          <w:tcPr>
            <w:tcW w:type="dxa" w:w="700"/>
            <w:tcMar>
              <w:top w:type="dxa" w:w="70"/>
              <w:left w:type="dxa" w:w="110"/>
              <w:bottom w:type="dxa" w:w="70"/>
              <w:right w:type="dxa" w:w="110"/>
            </w:tcMar>
          </w:tcPr>
          <w:p>
            <w:pPr>
              <w:spacing w:after="0"/>
            </w:pPr>
            <w:r>
              <w:rPr>
                <w:rFonts w:ascii="Aptos" w:cs="Aptos" w:eastAsia="Aptos" w:hAnsi="Aptos"/>
                <w:sz w:val="19"/>
                <w:szCs w:val="19"/>
              </w:rPr>
              <w:t xml:space="preserve"/>
            </w:r>
          </w:p>
        </w:tc>
      </w:tr>
      <w:tr>
        <w:tc>
          <w:tcPr>
            <w:tcW w:type="dxa" w:w="2200"/>
            <w:tcMar>
              <w:top w:type="dxa" w:w="70"/>
              <w:left w:type="dxa" w:w="110"/>
              <w:bottom w:type="dxa" w:w="70"/>
              <w:right w:type="dxa" w:w="110"/>
            </w:tcMar>
          </w:tcPr>
          <w:p>
            <w:pPr>
              <w:spacing w:after="0"/>
            </w:pPr>
            <w:r>
              <w:rPr>
                <w:rFonts w:ascii="Aptos" w:cs="Aptos" w:eastAsia="Aptos" w:hAnsi="Aptos"/>
                <w:b/>
                <w:bCs/>
                <w:sz w:val="19"/>
                <w:szCs w:val="19"/>
              </w:rPr>
              <w:t xml:space="preserve">Integration</w:t>
            </w:r>
          </w:p>
        </w:tc>
        <w:tc>
          <w:tcPr>
            <w:tcW w:type="dxa" w:w="5700"/>
            <w:tcMar>
              <w:top w:type="dxa" w:w="70"/>
              <w:left w:type="dxa" w:w="110"/>
              <w:bottom w:type="dxa" w:w="70"/>
              <w:right w:type="dxa" w:w="110"/>
            </w:tcMar>
          </w:tcPr>
          <w:p>
            <w:pPr>
              <w:spacing w:after="0"/>
            </w:pPr>
            <w:r>
              <w:rPr>
                <w:rFonts w:ascii="Aptos" w:cs="Aptos" w:eastAsia="Aptos" w:hAnsi="Aptos"/>
                <w:sz w:val="19"/>
                <w:szCs w:val="19"/>
              </w:rPr>
              <w:t xml:space="preserve">The three Media Matters activities in the Resource Pack: Your Rights in Action, Read the Small Print and Complete the Summary.</w:t>
            </w:r>
          </w:p>
        </w:tc>
        <w:tc>
          <w:tcPr>
            <w:tcW w:type="dxa" w:w="700"/>
            <w:tcMar>
              <w:top w:type="dxa" w:w="70"/>
              <w:left w:type="dxa" w:w="110"/>
              <w:bottom w:type="dxa" w:w="70"/>
              <w:right w:type="dxa" w:w="110"/>
            </w:tcMar>
          </w:tcPr>
          <w:p>
            <w:pPr>
              <w:spacing w:after="0"/>
            </w:pPr>
            <w:r>
              <w:rPr>
                <w:rFonts w:ascii="Aptos" w:cs="Aptos" w:eastAsia="Aptos" w:hAnsi="Aptos"/>
                <w:sz w:val="19"/>
                <w:szCs w:val="19"/>
              </w:rPr>
              <w:t xml:space="preserve"/>
            </w:r>
          </w:p>
        </w:tc>
      </w:tr>
    </w:tbl>
    <w:p>
      <w:pPr>
        <w:pBdr>
          <w:bottom w:val="single" w:color="999999" w:sz="4" w:space="6"/>
        </w:pBdr>
        <w:spacing w:after="110" w:before="320"/>
      </w:pPr>
      <w:r>
        <w:rPr>
          <w:rFonts w:ascii="Aptos" w:cs="Aptos" w:eastAsia="Aptos" w:hAnsi="Aptos"/>
          <w:b/>
          <w:bCs/>
          <w:sz w:val="23"/>
          <w:szCs w:val="23"/>
        </w:rPr>
        <w:t xml:space="preserve">PLANET ART – MAMAN (page 12)</w:t>
      </w:r>
    </w:p>
    <w:tbl>
      <w:tblPr>
        <w:tblW w:type="dxa" w:w="8600"/>
        <w:tblBorders>
          <w:top w:val="single" w:color="000000" w:sz="4"/>
          <w:left w:val="single" w:color="000000" w:sz="4"/>
          <w:bottom w:val="single" w:color="000000" w:sz="4"/>
          <w:right w:val="single" w:color="000000" w:sz="4"/>
          <w:insideH w:val="single" w:color="000000" w:sz="4"/>
          <w:insideV w:val="single" w:color="000000" w:sz="4"/>
        </w:tblBorders>
      </w:tblPr>
      <w:tblGrid>
        <w:gridCol w:w="2200"/>
        <w:gridCol w:w="5700"/>
        <w:gridCol w:w="700"/>
      </w:tblGrid>
      <w:tr>
        <w:tc>
          <w:tcPr>
            <w:tcW w:type="dxa" w:w="2200"/>
            <w:tcMar>
              <w:top w:type="dxa" w:w="70"/>
              <w:left w:type="dxa" w:w="110"/>
              <w:bottom w:type="dxa" w:w="70"/>
              <w:right w:type="dxa" w:w="110"/>
            </w:tcMar>
          </w:tcPr>
          <w:p>
            <w:pPr>
              <w:spacing w:after="0"/>
            </w:pPr>
            <w:r>
              <w:rPr>
                <w:rFonts w:ascii="Aptos" w:cs="Aptos" w:eastAsia="Aptos" w:hAnsi="Aptos"/>
                <w:b/>
                <w:bCs/>
                <w:sz w:val="19"/>
                <w:szCs w:val="19"/>
              </w:rPr>
              <w:t xml:space="preserve">Curriculum area / subject</w:t>
            </w:r>
          </w:p>
        </w:tc>
        <w:tc>
          <w:tcPr>
            <w:tcW w:type="dxa" w:w="5700"/>
            <w:tcMar>
              <w:top w:type="dxa" w:w="70"/>
              <w:left w:type="dxa" w:w="110"/>
              <w:bottom w:type="dxa" w:w="70"/>
              <w:right w:type="dxa" w:w="110"/>
            </w:tcMar>
          </w:tcPr>
          <w:p>
            <w:pPr>
              <w:spacing w:after="0"/>
            </w:pPr>
            <w:r>
              <w:rPr>
                <w:rFonts w:ascii="Aptos" w:cs="Aptos" w:eastAsia="Aptos" w:hAnsi="Aptos"/>
                <w:sz w:val="19"/>
                <w:szCs w:val="19"/>
              </w:rPr>
              <w:t xml:space="preserve">Arts Education – Art</w:t>
            </w:r>
          </w:p>
        </w:tc>
        <w:tc>
          <w:tcPr>
            <w:tcW w:type="dxa" w:w="700"/>
            <w:tcMar>
              <w:top w:type="dxa" w:w="70"/>
              <w:left w:type="dxa" w:w="110"/>
              <w:bottom w:type="dxa" w:w="70"/>
              <w:right w:type="dxa" w:w="110"/>
            </w:tcMar>
          </w:tcPr>
          <w:p>
            <w:pPr>
              <w:spacing w:after="0"/>
            </w:pPr>
            <w:r>
              <w:rPr>
                <w:rFonts w:ascii="Aptos" w:cs="Aptos" w:eastAsia="Aptos" w:hAnsi="Aptos"/>
                <w:sz w:val="19"/>
                <w:szCs w:val="19"/>
              </w:rPr>
              <w:t xml:space="preserve"/>
            </w:r>
          </w:p>
        </w:tc>
      </w:tr>
      <w:tr>
        <w:tc>
          <w:tcPr>
            <w:tcW w:type="dxa" w:w="2200"/>
            <w:tcMar>
              <w:top w:type="dxa" w:w="70"/>
              <w:left w:type="dxa" w:w="110"/>
              <w:bottom w:type="dxa" w:w="70"/>
              <w:right w:type="dxa" w:w="110"/>
            </w:tcMar>
          </w:tcPr>
          <w:p>
            <w:pPr>
              <w:spacing w:after="0"/>
            </w:pPr>
            <w:r>
              <w:rPr>
                <w:rFonts w:ascii="Aptos" w:cs="Aptos" w:eastAsia="Aptos" w:hAnsi="Aptos"/>
                <w:b/>
                <w:bCs/>
                <w:sz w:val="19"/>
                <w:szCs w:val="19"/>
              </w:rPr>
              <w:t xml:space="preserve">Strand / Strand Unit</w:t>
            </w:r>
          </w:p>
        </w:tc>
        <w:tc>
          <w:tcPr>
            <w:tcW w:type="dxa" w:w="5700"/>
            <w:tcMar>
              <w:top w:type="dxa" w:w="70"/>
              <w:left w:type="dxa" w:w="110"/>
              <w:bottom w:type="dxa" w:w="70"/>
              <w:right w:type="dxa" w:w="110"/>
            </w:tcMar>
          </w:tcPr>
          <w:p>
            <w:pPr>
              <w:spacing w:after="0"/>
            </w:pPr>
            <w:r>
              <w:rPr>
                <w:rFonts w:ascii="Aptos" w:cs="Aptos" w:eastAsia="Aptos" w:hAnsi="Aptos"/>
                <w:sz w:val="19"/>
                <w:szCs w:val="19"/>
              </w:rPr>
              <w:t xml:space="preserve">Exploring and creating; Performing and presenting; Responding and connecting.</w:t>
            </w:r>
          </w:p>
        </w:tc>
        <w:tc>
          <w:tcPr>
            <w:tcW w:type="dxa" w:w="700"/>
            <w:tcMar>
              <w:top w:type="dxa" w:w="70"/>
              <w:left w:type="dxa" w:w="110"/>
              <w:bottom w:type="dxa" w:w="70"/>
              <w:right w:type="dxa" w:w="110"/>
            </w:tcMar>
          </w:tcPr>
          <w:p>
            <w:pPr>
              <w:spacing w:after="0"/>
            </w:pPr>
            <w:r>
              <w:rPr>
                <w:rFonts w:ascii="Aptos" w:cs="Aptos" w:eastAsia="Aptos" w:hAnsi="Aptos"/>
                <w:sz w:val="19"/>
                <w:szCs w:val="19"/>
              </w:rPr>
              <w:t xml:space="preserve"/>
            </w:r>
          </w:p>
        </w:tc>
      </w:tr>
      <w:tr>
        <w:tc>
          <w:tcPr>
            <w:tcW w:type="dxa" w:w="2200"/>
            <w:tcMar>
              <w:top w:type="dxa" w:w="70"/>
              <w:left w:type="dxa" w:w="110"/>
              <w:bottom w:type="dxa" w:w="70"/>
              <w:right w:type="dxa" w:w="110"/>
            </w:tcMar>
          </w:tcPr>
          <w:p>
            <w:pPr>
              <w:spacing w:after="0"/>
            </w:pPr>
            <w:r>
              <w:rPr>
                <w:rFonts w:ascii="Aptos" w:cs="Aptos" w:eastAsia="Aptos" w:hAnsi="Aptos"/>
                <w:b/>
                <w:bCs/>
                <w:sz w:val="19"/>
                <w:szCs w:val="19"/>
              </w:rPr>
              <w:t xml:space="preserve">Issue focus</w:t>
            </w:r>
          </w:p>
        </w:tc>
        <w:tc>
          <w:tcPr>
            <w:tcW w:type="dxa" w:w="5700"/>
            <w:tcMar>
              <w:top w:type="dxa" w:w="70"/>
              <w:left w:type="dxa" w:w="110"/>
              <w:bottom w:type="dxa" w:w="70"/>
              <w:right w:type="dxa" w:w="110"/>
            </w:tcMar>
          </w:tcPr>
          <w:p>
            <w:pPr>
              <w:spacing w:after="0"/>
            </w:pPr>
            <w:r>
              <w:rPr>
                <w:rFonts w:ascii="Aptos" w:cs="Aptos" w:eastAsia="Aptos" w:hAnsi="Aptos"/>
                <w:sz w:val="19"/>
                <w:szCs w:val="19"/>
              </w:rPr>
              <w:t xml:space="preserve">Louise Bourgeois, the nine-metre bronze spider made in 1999, the marble eggs held beneath it, scale, and the idea of a spider as a protector rather than a predator.</w:t>
            </w:r>
          </w:p>
        </w:tc>
        <w:tc>
          <w:tcPr>
            <w:tcW w:type="dxa" w:w="700"/>
            <w:tcMar>
              <w:top w:type="dxa" w:w="70"/>
              <w:left w:type="dxa" w:w="110"/>
              <w:bottom w:type="dxa" w:w="70"/>
              <w:right w:type="dxa" w:w="110"/>
            </w:tcMar>
          </w:tcPr>
          <w:p>
            <w:pPr>
              <w:spacing w:after="0"/>
            </w:pPr>
            <w:r>
              <w:rPr>
                <w:rFonts w:ascii="Aptos" w:cs="Aptos" w:eastAsia="Aptos" w:hAnsi="Aptos"/>
                <w:sz w:val="19"/>
                <w:szCs w:val="19"/>
              </w:rPr>
              <w:t xml:space="preserve"/>
            </w:r>
          </w:p>
        </w:tc>
      </w:tr>
      <w:tr>
        <w:tc>
          <w:tcPr>
            <w:tcW w:type="dxa" w:w="2200"/>
            <w:tcMar>
              <w:top w:type="dxa" w:w="70"/>
              <w:left w:type="dxa" w:w="110"/>
              <w:bottom w:type="dxa" w:w="70"/>
              <w:right w:type="dxa" w:w="110"/>
            </w:tcMar>
          </w:tcPr>
          <w:p>
            <w:pPr>
              <w:spacing w:after="0"/>
            </w:pPr>
            <w:r>
              <w:rPr>
                <w:rFonts w:ascii="Aptos" w:cs="Aptos" w:eastAsia="Aptos" w:hAnsi="Aptos"/>
                <w:b/>
                <w:bCs/>
                <w:sz w:val="19"/>
                <w:szCs w:val="19"/>
              </w:rPr>
              <w:t xml:space="preserve">Relevant Stage 4 learning outcomes</w:t>
            </w:r>
          </w:p>
        </w:tc>
        <w:tc>
          <w:tcPr>
            <w:tcW w:type="dxa" w:w="5700"/>
            <w:tcMar>
              <w:top w:type="dxa" w:w="70"/>
              <w:left w:type="dxa" w:w="110"/>
              <w:bottom w:type="dxa" w:w="70"/>
              <w:right w:type="dxa" w:w="110"/>
            </w:tcMar>
          </w:tcPr>
          <w:p>
            <w:pPr>
              <w:spacing w:after="80"/>
              <w:ind w:left="200" w:hanging="200"/>
            </w:pPr>
            <w:r>
              <w:rPr>
                <w:rFonts w:ascii="Aptos" w:cs="Aptos" w:eastAsia="Aptos" w:hAnsi="Aptos"/>
                <w:sz w:val="19"/>
                <w:szCs w:val="19"/>
              </w:rPr>
              <w:t xml:space="preserve">•  Art, Responding and connecting: respond to and critically analyse ideas and themes in artwork and make connections with their own expressive art-making.</w:t>
            </w:r>
          </w:p>
          <w:p>
            <w:pPr>
              <w:spacing w:after="80"/>
              <w:ind w:left="200" w:hanging="200"/>
            </w:pPr>
            <w:r>
              <w:rPr>
                <w:rFonts w:ascii="Aptos" w:cs="Aptos" w:eastAsia="Aptos" w:hAnsi="Aptos"/>
                <w:sz w:val="19"/>
                <w:szCs w:val="19"/>
              </w:rPr>
              <w:t xml:space="preserve">•  Art, Exploring and creating: plan, design, reimagine, create and refine art using design principles (including light, contrast, scale and symmetry) and line, shape, form, colour, tone, texture, space, pattern and rhythm.</w:t>
            </w:r>
          </w:p>
          <w:p>
            <w:pPr>
              <w:spacing w:after="0"/>
              <w:ind w:left="200" w:hanging="200"/>
            </w:pPr>
            <w:r>
              <w:rPr>
                <w:rFonts w:ascii="Aptos" w:cs="Aptos" w:eastAsia="Aptos" w:hAnsi="Aptos"/>
                <w:sz w:val="19"/>
                <w:szCs w:val="19"/>
              </w:rPr>
              <w:t xml:space="preserve">•  Art, Performing and presenting: demonstrate and explain how their choice and use of design principles, and space, line, shape, colour, form, texture, pattern and rhythm enhances their art-making.</w:t>
            </w:r>
          </w:p>
        </w:tc>
        <w:tc>
          <w:tcPr>
            <w:tcW w:type="dxa" w:w="700"/>
            <w:tcMar>
              <w:top w:type="dxa" w:w="70"/>
              <w:left w:type="dxa" w:w="110"/>
              <w:bottom w:type="dxa" w:w="70"/>
              <w:right w:type="dxa" w:w="110"/>
            </w:tcMar>
          </w:tcPr>
          <w:p>
            <w:pPr>
              <w:spacing w:after="0"/>
            </w:pPr>
            <w:r>
              <w:rPr>
                <w:rFonts w:ascii="Aptos" w:cs="Aptos" w:eastAsia="Aptos" w:hAnsi="Aptos"/>
                <w:sz w:val="19"/>
                <w:szCs w:val="19"/>
              </w:rPr>
              <w:t xml:space="preserve"/>
            </w:r>
          </w:p>
        </w:tc>
      </w:tr>
      <w:tr>
        <w:tc>
          <w:tcPr>
            <w:tcW w:type="dxa" w:w="2200"/>
            <w:tcMar>
              <w:top w:type="dxa" w:w="70"/>
              <w:left w:type="dxa" w:w="110"/>
              <w:bottom w:type="dxa" w:w="70"/>
              <w:right w:type="dxa" w:w="110"/>
            </w:tcMar>
          </w:tcPr>
          <w:p>
            <w:pPr>
              <w:spacing w:after="0"/>
            </w:pPr>
            <w:r>
              <w:rPr>
                <w:rFonts w:ascii="Aptos" w:cs="Aptos" w:eastAsia="Aptos" w:hAnsi="Aptos"/>
                <w:b/>
                <w:bCs/>
                <w:sz w:val="19"/>
                <w:szCs w:val="19"/>
              </w:rPr>
              <w:t xml:space="preserve">Integration</w:t>
            </w:r>
          </w:p>
        </w:tc>
        <w:tc>
          <w:tcPr>
            <w:tcW w:type="dxa" w:w="5700"/>
            <w:tcMar>
              <w:top w:type="dxa" w:w="70"/>
              <w:left w:type="dxa" w:w="110"/>
              <w:bottom w:type="dxa" w:w="70"/>
              <w:right w:type="dxa" w:w="110"/>
            </w:tcMar>
          </w:tcPr>
          <w:p>
            <w:pPr>
              <w:spacing w:after="0"/>
            </w:pPr>
            <w:r>
              <w:rPr>
                <w:rFonts w:ascii="Aptos" w:cs="Aptos" w:eastAsia="Aptos" w:hAnsi="Aptos"/>
                <w:sz w:val="19"/>
                <w:szCs w:val="19"/>
              </w:rPr>
              <w:t xml:space="preserve">The Build Your Own Maman lesson in the Resource Pack. Language – justifying an opinion about a work of art.</w:t>
            </w:r>
          </w:p>
        </w:tc>
        <w:tc>
          <w:tcPr>
            <w:tcW w:type="dxa" w:w="700"/>
            <w:tcMar>
              <w:top w:type="dxa" w:w="70"/>
              <w:left w:type="dxa" w:w="110"/>
              <w:bottom w:type="dxa" w:w="70"/>
              <w:right w:type="dxa" w:w="110"/>
            </w:tcMar>
          </w:tcPr>
          <w:p>
            <w:pPr>
              <w:spacing w:after="0"/>
            </w:pPr>
            <w:r>
              <w:rPr>
                <w:rFonts w:ascii="Aptos" w:cs="Aptos" w:eastAsia="Aptos" w:hAnsi="Aptos"/>
                <w:sz w:val="19"/>
                <w:szCs w:val="19"/>
              </w:rPr>
              <w:t xml:space="preserve"/>
            </w:r>
          </w:p>
        </w:tc>
      </w:tr>
    </w:tbl>
    <w:p>
      <w:pPr>
        <w:pBdr>
          <w:bottom w:val="single" w:color="999999" w:sz="4" w:space="6"/>
        </w:pBdr>
        <w:spacing w:after="110" w:before="320"/>
      </w:pPr>
      <w:r>
        <w:rPr>
          <w:rFonts w:ascii="Aptos" w:cs="Aptos" w:eastAsia="Aptos" w:hAnsi="Aptos"/>
          <w:b/>
          <w:bCs/>
          <w:sz w:val="23"/>
          <w:szCs w:val="23"/>
        </w:rPr>
        <w:t xml:space="preserve">WWW NEWS (page 13)</w:t>
      </w:r>
    </w:p>
    <w:tbl>
      <w:tblPr>
        <w:tblW w:type="dxa" w:w="8600"/>
        <w:tblBorders>
          <w:top w:val="single" w:color="000000" w:sz="4"/>
          <w:left w:val="single" w:color="000000" w:sz="4"/>
          <w:bottom w:val="single" w:color="000000" w:sz="4"/>
          <w:right w:val="single" w:color="000000" w:sz="4"/>
          <w:insideH w:val="single" w:color="000000" w:sz="4"/>
          <w:insideV w:val="single" w:color="000000" w:sz="4"/>
        </w:tblBorders>
      </w:tblPr>
      <w:tblGrid>
        <w:gridCol w:w="2200"/>
        <w:gridCol w:w="5700"/>
        <w:gridCol w:w="700"/>
      </w:tblGrid>
      <w:tr>
        <w:tc>
          <w:tcPr>
            <w:tcW w:type="dxa" w:w="2200"/>
            <w:tcMar>
              <w:top w:type="dxa" w:w="70"/>
              <w:left w:type="dxa" w:w="110"/>
              <w:bottom w:type="dxa" w:w="70"/>
              <w:right w:type="dxa" w:w="110"/>
            </w:tcMar>
          </w:tcPr>
          <w:p>
            <w:pPr>
              <w:spacing w:after="0"/>
            </w:pPr>
            <w:r>
              <w:rPr>
                <w:rFonts w:ascii="Aptos" w:cs="Aptos" w:eastAsia="Aptos" w:hAnsi="Aptos"/>
                <w:b/>
                <w:bCs/>
                <w:sz w:val="19"/>
                <w:szCs w:val="19"/>
              </w:rPr>
              <w:t xml:space="preserve">Curriculum area / subject</w:t>
            </w:r>
          </w:p>
        </w:tc>
        <w:tc>
          <w:tcPr>
            <w:tcW w:type="dxa" w:w="5700"/>
            <w:tcMar>
              <w:top w:type="dxa" w:w="70"/>
              <w:left w:type="dxa" w:w="110"/>
              <w:bottom w:type="dxa" w:w="70"/>
              <w:right w:type="dxa" w:w="110"/>
            </w:tcMar>
          </w:tcPr>
          <w:p>
            <w:pPr>
              <w:spacing w:after="0"/>
            </w:pPr>
            <w:r>
              <w:rPr>
                <w:rFonts w:ascii="Aptos" w:cs="Aptos" w:eastAsia="Aptos" w:hAnsi="Aptos"/>
                <w:sz w:val="19"/>
                <w:szCs w:val="19"/>
              </w:rPr>
              <w:t xml:space="preserve">Language – English; STEM Education – Nature of STEM</w:t>
            </w:r>
          </w:p>
        </w:tc>
        <w:tc>
          <w:tcPr>
            <w:tcW w:type="dxa" w:w="700"/>
            <w:tcMar>
              <w:top w:type="dxa" w:w="70"/>
              <w:left w:type="dxa" w:w="110"/>
              <w:bottom w:type="dxa" w:w="70"/>
              <w:right w:type="dxa" w:w="110"/>
            </w:tcMar>
          </w:tcPr>
          <w:p>
            <w:pPr>
              <w:spacing w:after="0"/>
            </w:pPr>
            <w:r>
              <w:rPr>
                <w:rFonts w:ascii="Aptos" w:cs="Aptos" w:eastAsia="Aptos" w:hAnsi="Aptos"/>
                <w:sz w:val="19"/>
                <w:szCs w:val="19"/>
              </w:rPr>
              <w:t xml:space="preserve"/>
            </w:r>
          </w:p>
        </w:tc>
      </w:tr>
      <w:tr>
        <w:tc>
          <w:tcPr>
            <w:tcW w:type="dxa" w:w="2200"/>
            <w:tcMar>
              <w:top w:type="dxa" w:w="70"/>
              <w:left w:type="dxa" w:w="110"/>
              <w:bottom w:type="dxa" w:w="70"/>
              <w:right w:type="dxa" w:w="110"/>
            </w:tcMar>
          </w:tcPr>
          <w:p>
            <w:pPr>
              <w:spacing w:after="0"/>
            </w:pPr>
            <w:r>
              <w:rPr>
                <w:rFonts w:ascii="Aptos" w:cs="Aptos" w:eastAsia="Aptos" w:hAnsi="Aptos"/>
                <w:b/>
                <w:bCs/>
                <w:sz w:val="19"/>
                <w:szCs w:val="19"/>
              </w:rPr>
              <w:t xml:space="preserve">Strand / Strand Unit</w:t>
            </w:r>
          </w:p>
        </w:tc>
        <w:tc>
          <w:tcPr>
            <w:tcW w:type="dxa" w:w="5700"/>
            <w:tcMar>
              <w:top w:type="dxa" w:w="70"/>
              <w:left w:type="dxa" w:w="110"/>
              <w:bottom w:type="dxa" w:w="70"/>
              <w:right w:type="dxa" w:w="110"/>
            </w:tcMar>
          </w:tcPr>
          <w:p>
            <w:pPr>
              <w:spacing w:after="0"/>
            </w:pPr>
            <w:r>
              <w:rPr>
                <w:rFonts w:ascii="Aptos" w:cs="Aptos" w:eastAsia="Aptos" w:hAnsi="Aptos"/>
                <w:sz w:val="19"/>
                <w:szCs w:val="19"/>
              </w:rPr>
              <w:t xml:space="preserve">Oral language; Reading. STEM: Nature of STEM.</w:t>
            </w:r>
          </w:p>
        </w:tc>
        <w:tc>
          <w:tcPr>
            <w:tcW w:type="dxa" w:w="700"/>
            <w:tcMar>
              <w:top w:type="dxa" w:w="70"/>
              <w:left w:type="dxa" w:w="110"/>
              <w:bottom w:type="dxa" w:w="70"/>
              <w:right w:type="dxa" w:w="110"/>
            </w:tcMar>
          </w:tcPr>
          <w:p>
            <w:pPr>
              <w:spacing w:after="0"/>
            </w:pPr>
            <w:r>
              <w:rPr>
                <w:rFonts w:ascii="Aptos" w:cs="Aptos" w:eastAsia="Aptos" w:hAnsi="Aptos"/>
                <w:sz w:val="19"/>
                <w:szCs w:val="19"/>
              </w:rPr>
              <w:t xml:space="preserve"/>
            </w:r>
          </w:p>
        </w:tc>
      </w:tr>
      <w:tr>
        <w:tc>
          <w:tcPr>
            <w:tcW w:type="dxa" w:w="2200"/>
            <w:tcMar>
              <w:top w:type="dxa" w:w="70"/>
              <w:left w:type="dxa" w:w="110"/>
              <w:bottom w:type="dxa" w:w="70"/>
              <w:right w:type="dxa" w:w="110"/>
            </w:tcMar>
          </w:tcPr>
          <w:p>
            <w:pPr>
              <w:spacing w:after="0"/>
            </w:pPr>
            <w:r>
              <w:rPr>
                <w:rFonts w:ascii="Aptos" w:cs="Aptos" w:eastAsia="Aptos" w:hAnsi="Aptos"/>
                <w:b/>
                <w:bCs/>
                <w:sz w:val="19"/>
                <w:szCs w:val="19"/>
              </w:rPr>
              <w:t xml:space="preserve">Issue focus</w:t>
            </w:r>
          </w:p>
        </w:tc>
        <w:tc>
          <w:tcPr>
            <w:tcW w:type="dxa" w:w="5700"/>
            <w:tcMar>
              <w:top w:type="dxa" w:w="70"/>
              <w:left w:type="dxa" w:w="110"/>
              <w:bottom w:type="dxa" w:w="70"/>
              <w:right w:type="dxa" w:w="110"/>
            </w:tcMar>
          </w:tcPr>
          <w:p>
            <w:pPr>
              <w:spacing w:after="0"/>
            </w:pPr>
            <w:r>
              <w:rPr>
                <w:rFonts w:ascii="Aptos" w:cs="Aptos" w:eastAsia="Aptos" w:hAnsi="Aptos"/>
                <w:sz w:val="19"/>
                <w:szCs w:val="19"/>
              </w:rPr>
              <w:t xml:space="preserve">The inaugural Vulcan salute record set by 934 people in London, the Ig Nobel Prizes for cockroach milk, the aerodynamics of nose-blowing and 1,000 buried pairs of underpants, and the Qingyun Ladder.</w:t>
            </w:r>
          </w:p>
        </w:tc>
        <w:tc>
          <w:tcPr>
            <w:tcW w:type="dxa" w:w="700"/>
            <w:tcMar>
              <w:top w:type="dxa" w:w="70"/>
              <w:left w:type="dxa" w:w="110"/>
              <w:bottom w:type="dxa" w:w="70"/>
              <w:right w:type="dxa" w:w="110"/>
            </w:tcMar>
          </w:tcPr>
          <w:p>
            <w:pPr>
              <w:spacing w:after="0"/>
            </w:pPr>
            <w:r>
              <w:rPr>
                <w:rFonts w:ascii="Aptos" w:cs="Aptos" w:eastAsia="Aptos" w:hAnsi="Aptos"/>
                <w:sz w:val="19"/>
                <w:szCs w:val="19"/>
              </w:rPr>
              <w:t xml:space="preserve"/>
            </w:r>
          </w:p>
        </w:tc>
      </w:tr>
      <w:tr>
        <w:tc>
          <w:tcPr>
            <w:tcW w:type="dxa" w:w="2200"/>
            <w:tcMar>
              <w:top w:type="dxa" w:w="70"/>
              <w:left w:type="dxa" w:w="110"/>
              <w:bottom w:type="dxa" w:w="70"/>
              <w:right w:type="dxa" w:w="110"/>
            </w:tcMar>
          </w:tcPr>
          <w:p>
            <w:pPr>
              <w:spacing w:after="0"/>
            </w:pPr>
            <w:r>
              <w:rPr>
                <w:rFonts w:ascii="Aptos" w:cs="Aptos" w:eastAsia="Aptos" w:hAnsi="Aptos"/>
                <w:b/>
                <w:bCs/>
                <w:sz w:val="19"/>
                <w:szCs w:val="19"/>
              </w:rPr>
              <w:t xml:space="preserve">Relevant Stage 4 learning outcomes</w:t>
            </w:r>
          </w:p>
        </w:tc>
        <w:tc>
          <w:tcPr>
            <w:tcW w:type="dxa" w:w="5700"/>
            <w:tcMar>
              <w:top w:type="dxa" w:w="70"/>
              <w:left w:type="dxa" w:w="110"/>
              <w:bottom w:type="dxa" w:w="70"/>
              <w:right w:type="dxa" w:w="110"/>
            </w:tcMar>
          </w:tcPr>
          <w:p>
            <w:pPr>
              <w:spacing w:after="80"/>
              <w:ind w:left="200" w:hanging="200"/>
            </w:pPr>
            <w:r>
              <w:rPr>
                <w:rFonts w:ascii="Aptos" w:cs="Aptos" w:eastAsia="Aptos" w:hAnsi="Aptos"/>
                <w:sz w:val="19"/>
                <w:szCs w:val="19"/>
              </w:rPr>
              <w:t xml:space="preserve">•  STE Nature of STEM: identify and appreciate the key features of Nature of Science, Nature of Technology and Nature of Engineering. Explore and discuss topical STEM issues in Ireland and in the wider world.</w:t>
            </w:r>
          </w:p>
          <w:p>
            <w:pPr>
              <w:spacing w:after="80"/>
              <w:ind w:left="200" w:hanging="200"/>
            </w:pPr>
            <w:r>
              <w:rPr>
                <w:rFonts w:ascii="Aptos" w:cs="Aptos" w:eastAsia="Aptos" w:hAnsi="Aptos"/>
                <w:sz w:val="19"/>
                <w:szCs w:val="19"/>
              </w:rPr>
              <w:t xml:space="preserve">•  Writing, Purpose, genre and voice: create text for a wide variety of authentic purposes, demonstrating an increasing understanding of the influence of the audience on their work.</w:t>
            </w:r>
          </w:p>
          <w:p>
            <w:pPr>
              <w:spacing w:after="0"/>
              <w:ind w:left="200" w:hanging="200"/>
            </w:pPr>
            <w:r>
              <w:rPr>
                <w:rFonts w:ascii="Aptos" w:cs="Aptos" w:eastAsia="Aptos" w:hAnsi="Aptos"/>
                <w:sz w:val="19"/>
                <w:szCs w:val="19"/>
              </w:rPr>
              <w:t xml:space="preserve">•  Oral Language, Motivation and choice: choose, listen to, critically respond to and create texts in a range of genres and in other languages where appropriate, across the curriculum for pleasure, interest and specific purposes.</w:t>
            </w:r>
          </w:p>
        </w:tc>
        <w:tc>
          <w:tcPr>
            <w:tcW w:type="dxa" w:w="700"/>
            <w:tcMar>
              <w:top w:type="dxa" w:w="70"/>
              <w:left w:type="dxa" w:w="110"/>
              <w:bottom w:type="dxa" w:w="70"/>
              <w:right w:type="dxa" w:w="110"/>
            </w:tcMar>
          </w:tcPr>
          <w:p>
            <w:pPr>
              <w:spacing w:after="0"/>
            </w:pPr>
            <w:r>
              <w:rPr>
                <w:rFonts w:ascii="Aptos" w:cs="Aptos" w:eastAsia="Aptos" w:hAnsi="Aptos"/>
                <w:sz w:val="19"/>
                <w:szCs w:val="19"/>
              </w:rPr>
              <w:t xml:space="preserve"/>
            </w:r>
          </w:p>
        </w:tc>
      </w:tr>
      <w:tr>
        <w:tc>
          <w:tcPr>
            <w:tcW w:type="dxa" w:w="2200"/>
            <w:tcMar>
              <w:top w:type="dxa" w:w="70"/>
              <w:left w:type="dxa" w:w="110"/>
              <w:bottom w:type="dxa" w:w="70"/>
              <w:right w:type="dxa" w:w="110"/>
            </w:tcMar>
          </w:tcPr>
          <w:p>
            <w:pPr>
              <w:spacing w:after="0"/>
            </w:pPr>
            <w:r>
              <w:rPr>
                <w:rFonts w:ascii="Aptos" w:cs="Aptos" w:eastAsia="Aptos" w:hAnsi="Aptos"/>
                <w:b/>
                <w:bCs/>
                <w:sz w:val="19"/>
                <w:szCs w:val="19"/>
              </w:rPr>
              <w:t xml:space="preserve">Integration</w:t>
            </w:r>
          </w:p>
        </w:tc>
        <w:tc>
          <w:tcPr>
            <w:tcW w:type="dxa" w:w="5700"/>
            <w:tcMar>
              <w:top w:type="dxa" w:w="70"/>
              <w:left w:type="dxa" w:w="110"/>
              <w:bottom w:type="dxa" w:w="70"/>
              <w:right w:type="dxa" w:w="110"/>
            </w:tcMar>
          </w:tcPr>
          <w:p>
            <w:pPr>
              <w:spacing w:after="0"/>
            </w:pPr>
            <w:r>
              <w:rPr>
                <w:rFonts w:ascii="Aptos" w:cs="Aptos" w:eastAsia="Aptos" w:hAnsi="Aptos"/>
                <w:sz w:val="19"/>
                <w:szCs w:val="19"/>
              </w:rPr>
              <w:t xml:space="preserve">The Ig Nobel Prize writing lesson in the Resource Pack. Language – humour and tone in news writing.</w:t>
            </w:r>
          </w:p>
        </w:tc>
        <w:tc>
          <w:tcPr>
            <w:tcW w:type="dxa" w:w="700"/>
            <w:tcMar>
              <w:top w:type="dxa" w:w="70"/>
              <w:left w:type="dxa" w:w="110"/>
              <w:bottom w:type="dxa" w:w="70"/>
              <w:right w:type="dxa" w:w="110"/>
            </w:tcMar>
          </w:tcPr>
          <w:p>
            <w:pPr>
              <w:spacing w:after="0"/>
            </w:pPr>
            <w:r>
              <w:rPr>
                <w:rFonts w:ascii="Aptos" w:cs="Aptos" w:eastAsia="Aptos" w:hAnsi="Aptos"/>
                <w:sz w:val="19"/>
                <w:szCs w:val="19"/>
              </w:rPr>
              <w:t xml:space="preserve"/>
            </w:r>
          </w:p>
        </w:tc>
      </w:tr>
    </w:tbl>
    <w:p>
      <w:pPr>
        <w:pBdr>
          <w:bottom w:val="single" w:color="999999" w:sz="4" w:space="6"/>
        </w:pBdr>
        <w:spacing w:after="110" w:before="320"/>
      </w:pPr>
      <w:r>
        <w:rPr>
          <w:rFonts w:ascii="Aptos" w:cs="Aptos" w:eastAsia="Aptos" w:hAnsi="Aptos"/>
          <w:b/>
          <w:bCs/>
          <w:sz w:val="23"/>
          <w:szCs w:val="23"/>
        </w:rPr>
        <w:t xml:space="preserve">PLANET FARMING (page 14)</w:t>
      </w:r>
    </w:p>
    <w:tbl>
      <w:tblPr>
        <w:tblW w:type="dxa" w:w="8600"/>
        <w:tblBorders>
          <w:top w:val="single" w:color="000000" w:sz="4"/>
          <w:left w:val="single" w:color="000000" w:sz="4"/>
          <w:bottom w:val="single" w:color="000000" w:sz="4"/>
          <w:right w:val="single" w:color="000000" w:sz="4"/>
          <w:insideH w:val="single" w:color="000000" w:sz="4"/>
          <w:insideV w:val="single" w:color="000000" w:sz="4"/>
        </w:tblBorders>
      </w:tblPr>
      <w:tblGrid>
        <w:gridCol w:w="2200"/>
        <w:gridCol w:w="5700"/>
        <w:gridCol w:w="700"/>
      </w:tblGrid>
      <w:tr>
        <w:tc>
          <w:tcPr>
            <w:tcW w:type="dxa" w:w="2200"/>
            <w:tcMar>
              <w:top w:type="dxa" w:w="70"/>
              <w:left w:type="dxa" w:w="110"/>
              <w:bottom w:type="dxa" w:w="70"/>
              <w:right w:type="dxa" w:w="110"/>
            </w:tcMar>
          </w:tcPr>
          <w:p>
            <w:pPr>
              <w:spacing w:after="0"/>
            </w:pPr>
            <w:r>
              <w:rPr>
                <w:rFonts w:ascii="Aptos" w:cs="Aptos" w:eastAsia="Aptos" w:hAnsi="Aptos"/>
                <w:b/>
                <w:bCs/>
                <w:sz w:val="19"/>
                <w:szCs w:val="19"/>
              </w:rPr>
              <w:t xml:space="preserve">Curriculum area / subject</w:t>
            </w:r>
          </w:p>
        </w:tc>
        <w:tc>
          <w:tcPr>
            <w:tcW w:type="dxa" w:w="5700"/>
            <w:tcMar>
              <w:top w:type="dxa" w:w="70"/>
              <w:left w:type="dxa" w:w="110"/>
              <w:bottom w:type="dxa" w:w="70"/>
              <w:right w:type="dxa" w:w="110"/>
            </w:tcMar>
          </w:tcPr>
          <w:p>
            <w:pPr>
              <w:spacing w:after="0"/>
            </w:pPr>
            <w:r>
              <w:rPr>
                <w:rFonts w:ascii="Aptos" w:cs="Aptos" w:eastAsia="Aptos" w:hAnsi="Aptos"/>
                <w:sz w:val="19"/>
                <w:szCs w:val="19"/>
              </w:rPr>
              <w:t xml:space="preserve">Social and Environmental Education – Geography; STEM Education – Science</w:t>
            </w:r>
          </w:p>
        </w:tc>
        <w:tc>
          <w:tcPr>
            <w:tcW w:type="dxa" w:w="700"/>
            <w:tcMar>
              <w:top w:type="dxa" w:w="70"/>
              <w:left w:type="dxa" w:w="110"/>
              <w:bottom w:type="dxa" w:w="70"/>
              <w:right w:type="dxa" w:w="110"/>
            </w:tcMar>
          </w:tcPr>
          <w:p>
            <w:pPr>
              <w:spacing w:after="0"/>
            </w:pPr>
            <w:r>
              <w:rPr>
                <w:rFonts w:ascii="Aptos" w:cs="Aptos" w:eastAsia="Aptos" w:hAnsi="Aptos"/>
                <w:sz w:val="19"/>
                <w:szCs w:val="19"/>
              </w:rPr>
              <w:t xml:space="preserve"/>
            </w:r>
          </w:p>
        </w:tc>
      </w:tr>
      <w:tr>
        <w:tc>
          <w:tcPr>
            <w:tcW w:type="dxa" w:w="2200"/>
            <w:tcMar>
              <w:top w:type="dxa" w:w="70"/>
              <w:left w:type="dxa" w:w="110"/>
              <w:bottom w:type="dxa" w:w="70"/>
              <w:right w:type="dxa" w:w="110"/>
            </w:tcMar>
          </w:tcPr>
          <w:p>
            <w:pPr>
              <w:spacing w:after="0"/>
            </w:pPr>
            <w:r>
              <w:rPr>
                <w:rFonts w:ascii="Aptos" w:cs="Aptos" w:eastAsia="Aptos" w:hAnsi="Aptos"/>
                <w:b/>
                <w:bCs/>
                <w:sz w:val="19"/>
                <w:szCs w:val="19"/>
              </w:rPr>
              <w:t xml:space="preserve">Strand / Strand Unit</w:t>
            </w:r>
          </w:p>
        </w:tc>
        <w:tc>
          <w:tcPr>
            <w:tcW w:type="dxa" w:w="5700"/>
            <w:tcMar>
              <w:top w:type="dxa" w:w="70"/>
              <w:left w:type="dxa" w:w="110"/>
              <w:bottom w:type="dxa" w:w="70"/>
              <w:right w:type="dxa" w:w="110"/>
            </w:tcMar>
          </w:tcPr>
          <w:p>
            <w:pPr>
              <w:spacing w:after="0"/>
            </w:pPr>
            <w:r>
              <w:rPr>
                <w:rFonts w:ascii="Aptos" w:cs="Aptos" w:eastAsia="Aptos" w:hAnsi="Aptos"/>
                <w:sz w:val="19"/>
                <w:szCs w:val="19"/>
              </w:rPr>
              <w:t xml:space="preserve">My locality / People and places; Environment and sustainable living. Science: Living things.</w:t>
            </w:r>
          </w:p>
        </w:tc>
        <w:tc>
          <w:tcPr>
            <w:tcW w:type="dxa" w:w="700"/>
            <w:tcMar>
              <w:top w:type="dxa" w:w="70"/>
              <w:left w:type="dxa" w:w="110"/>
              <w:bottom w:type="dxa" w:w="70"/>
              <w:right w:type="dxa" w:w="110"/>
            </w:tcMar>
          </w:tcPr>
          <w:p>
            <w:pPr>
              <w:spacing w:after="0"/>
            </w:pPr>
            <w:r>
              <w:rPr>
                <w:rFonts w:ascii="Aptos" w:cs="Aptos" w:eastAsia="Aptos" w:hAnsi="Aptos"/>
                <w:sz w:val="19"/>
                <w:szCs w:val="19"/>
              </w:rPr>
              <w:t xml:space="preserve"/>
            </w:r>
          </w:p>
        </w:tc>
      </w:tr>
      <w:tr>
        <w:tc>
          <w:tcPr>
            <w:tcW w:type="dxa" w:w="2200"/>
            <w:tcMar>
              <w:top w:type="dxa" w:w="70"/>
              <w:left w:type="dxa" w:w="110"/>
              <w:bottom w:type="dxa" w:w="70"/>
              <w:right w:type="dxa" w:w="110"/>
            </w:tcMar>
          </w:tcPr>
          <w:p>
            <w:pPr>
              <w:spacing w:after="0"/>
            </w:pPr>
            <w:r>
              <w:rPr>
                <w:rFonts w:ascii="Aptos" w:cs="Aptos" w:eastAsia="Aptos" w:hAnsi="Aptos"/>
                <w:b/>
                <w:bCs/>
                <w:sz w:val="19"/>
                <w:szCs w:val="19"/>
              </w:rPr>
              <w:t xml:space="preserve">Issue focus</w:t>
            </w:r>
          </w:p>
        </w:tc>
        <w:tc>
          <w:tcPr>
            <w:tcW w:type="dxa" w:w="5700"/>
            <w:tcMar>
              <w:top w:type="dxa" w:w="70"/>
              <w:left w:type="dxa" w:w="110"/>
              <w:bottom w:type="dxa" w:w="70"/>
              <w:right w:type="dxa" w:w="110"/>
            </w:tcMar>
          </w:tcPr>
          <w:p>
            <w:pPr>
              <w:spacing w:after="0"/>
            </w:pPr>
            <w:r>
              <w:rPr>
                <w:rFonts w:ascii="Aptos" w:cs="Aptos" w:eastAsia="Aptos" w:hAnsi="Aptos"/>
                <w:sz w:val="19"/>
                <w:szCs w:val="19"/>
              </w:rPr>
              <w:t xml:space="preserve">The autumn work of an Irish farm, the National Ploughing Championships at Screggan near Tullamore, and the restoration of vintage machinery.</w:t>
            </w:r>
          </w:p>
        </w:tc>
        <w:tc>
          <w:tcPr>
            <w:tcW w:type="dxa" w:w="700"/>
            <w:tcMar>
              <w:top w:type="dxa" w:w="70"/>
              <w:left w:type="dxa" w:w="110"/>
              <w:bottom w:type="dxa" w:w="70"/>
              <w:right w:type="dxa" w:w="110"/>
            </w:tcMar>
          </w:tcPr>
          <w:p>
            <w:pPr>
              <w:spacing w:after="0"/>
            </w:pPr>
            <w:r>
              <w:rPr>
                <w:rFonts w:ascii="Aptos" w:cs="Aptos" w:eastAsia="Aptos" w:hAnsi="Aptos"/>
                <w:sz w:val="19"/>
                <w:szCs w:val="19"/>
              </w:rPr>
              <w:t xml:space="preserve"/>
            </w:r>
          </w:p>
        </w:tc>
      </w:tr>
      <w:tr>
        <w:tc>
          <w:tcPr>
            <w:tcW w:type="dxa" w:w="2200"/>
            <w:tcMar>
              <w:top w:type="dxa" w:w="70"/>
              <w:left w:type="dxa" w:w="110"/>
              <w:bottom w:type="dxa" w:w="70"/>
              <w:right w:type="dxa" w:w="110"/>
            </w:tcMar>
          </w:tcPr>
          <w:p>
            <w:pPr>
              <w:spacing w:after="0"/>
            </w:pPr>
            <w:r>
              <w:rPr>
                <w:rFonts w:ascii="Aptos" w:cs="Aptos" w:eastAsia="Aptos" w:hAnsi="Aptos"/>
                <w:b/>
                <w:bCs/>
                <w:sz w:val="19"/>
                <w:szCs w:val="19"/>
              </w:rPr>
              <w:t xml:space="preserve">Relevant Stage 4 learning outcomes</w:t>
            </w:r>
          </w:p>
        </w:tc>
        <w:tc>
          <w:tcPr>
            <w:tcW w:type="dxa" w:w="5700"/>
            <w:tcMar>
              <w:top w:type="dxa" w:w="70"/>
              <w:left w:type="dxa" w:w="110"/>
              <w:bottom w:type="dxa" w:w="70"/>
              <w:right w:type="dxa" w:w="110"/>
            </w:tcMar>
          </w:tcPr>
          <w:p>
            <w:pPr>
              <w:spacing w:after="80"/>
              <w:ind w:left="200" w:hanging="200"/>
            </w:pPr>
            <w:r>
              <w:rPr>
                <w:rFonts w:ascii="Aptos" w:cs="Aptos" w:eastAsia="Aptos" w:hAnsi="Aptos"/>
                <w:sz w:val="19"/>
                <w:szCs w:val="19"/>
              </w:rPr>
              <w:t xml:space="preserve">•  SEE Geography, My locality: examine sustainable practices (social, environmental, economic) in the local community and actions people can take to promote sustainable living.</w:t>
            </w:r>
          </w:p>
          <w:p>
            <w:pPr>
              <w:spacing w:after="80"/>
              <w:ind w:left="200" w:hanging="200"/>
            </w:pPr>
            <w:r>
              <w:rPr>
                <w:rFonts w:ascii="Aptos" w:cs="Aptos" w:eastAsia="Aptos" w:hAnsi="Aptos"/>
                <w:sz w:val="19"/>
                <w:szCs w:val="19"/>
              </w:rPr>
              <w:t xml:space="preserve">•  SEE Geography, The island of Ireland: explore how limited resource availability impacts trade and economic activities, such as food and farming, forestry, fishing, industry, services, tourism, recreation, etc., in Ireland.</w:t>
            </w:r>
          </w:p>
          <w:p>
            <w:pPr>
              <w:spacing w:after="0"/>
              <w:ind w:left="200" w:hanging="200"/>
            </w:pPr>
            <w:r>
              <w:rPr>
                <w:rFonts w:ascii="Aptos" w:cs="Aptos" w:eastAsia="Aptos" w:hAnsi="Aptos"/>
                <w:sz w:val="19"/>
                <w:szCs w:val="19"/>
              </w:rPr>
              <w:t xml:space="preserve">•  SEE Geography, My locality: investigate and evaluate ways to sustainably manage resources such as water, land, food and transport in the locality.</w:t>
            </w:r>
          </w:p>
        </w:tc>
        <w:tc>
          <w:tcPr>
            <w:tcW w:type="dxa" w:w="700"/>
            <w:tcMar>
              <w:top w:type="dxa" w:w="70"/>
              <w:left w:type="dxa" w:w="110"/>
              <w:bottom w:type="dxa" w:w="70"/>
              <w:right w:type="dxa" w:w="110"/>
            </w:tcMar>
          </w:tcPr>
          <w:p>
            <w:pPr>
              <w:spacing w:after="0"/>
            </w:pPr>
            <w:r>
              <w:rPr>
                <w:rFonts w:ascii="Aptos" w:cs="Aptos" w:eastAsia="Aptos" w:hAnsi="Aptos"/>
                <w:sz w:val="19"/>
                <w:szCs w:val="19"/>
              </w:rPr>
              <w:t xml:space="preserve"/>
            </w:r>
          </w:p>
        </w:tc>
      </w:tr>
      <w:tr>
        <w:tc>
          <w:tcPr>
            <w:tcW w:type="dxa" w:w="2200"/>
            <w:tcMar>
              <w:top w:type="dxa" w:w="70"/>
              <w:left w:type="dxa" w:w="110"/>
              <w:bottom w:type="dxa" w:w="70"/>
              <w:right w:type="dxa" w:w="110"/>
            </w:tcMar>
          </w:tcPr>
          <w:p>
            <w:pPr>
              <w:spacing w:after="0"/>
            </w:pPr>
            <w:r>
              <w:rPr>
                <w:rFonts w:ascii="Aptos" w:cs="Aptos" w:eastAsia="Aptos" w:hAnsi="Aptos"/>
                <w:b/>
                <w:bCs/>
                <w:sz w:val="19"/>
                <w:szCs w:val="19"/>
              </w:rPr>
              <w:t xml:space="preserve">Integration</w:t>
            </w:r>
          </w:p>
        </w:tc>
        <w:tc>
          <w:tcPr>
            <w:tcW w:type="dxa" w:w="5700"/>
            <w:tcMar>
              <w:top w:type="dxa" w:w="70"/>
              <w:left w:type="dxa" w:w="110"/>
              <w:bottom w:type="dxa" w:w="70"/>
              <w:right w:type="dxa" w:w="110"/>
            </w:tcMar>
          </w:tcPr>
          <w:p>
            <w:pPr>
              <w:spacing w:after="0"/>
            </w:pPr>
            <w:r>
              <w:rPr>
                <w:rFonts w:ascii="Aptos" w:cs="Aptos" w:eastAsia="Aptos" w:hAnsi="Aptos"/>
                <w:sz w:val="19"/>
                <w:szCs w:val="19"/>
              </w:rPr>
              <w:t xml:space="preserve">Mathematics – measures and time. Language – occupational vocabulary and recount writing.</w:t>
            </w:r>
          </w:p>
        </w:tc>
        <w:tc>
          <w:tcPr>
            <w:tcW w:type="dxa" w:w="700"/>
            <w:tcMar>
              <w:top w:type="dxa" w:w="70"/>
              <w:left w:type="dxa" w:w="110"/>
              <w:bottom w:type="dxa" w:w="70"/>
              <w:right w:type="dxa" w:w="110"/>
            </w:tcMar>
          </w:tcPr>
          <w:p>
            <w:pPr>
              <w:spacing w:after="0"/>
            </w:pPr>
            <w:r>
              <w:rPr>
                <w:rFonts w:ascii="Aptos" w:cs="Aptos" w:eastAsia="Aptos" w:hAnsi="Aptos"/>
                <w:sz w:val="19"/>
                <w:szCs w:val="19"/>
              </w:rPr>
              <w:t xml:space="preserve"/>
            </w:r>
          </w:p>
        </w:tc>
      </w:tr>
    </w:tbl>
    <w:p>
      <w:pPr>
        <w:pBdr>
          <w:bottom w:val="single" w:color="999999" w:sz="4" w:space="6"/>
        </w:pBdr>
        <w:spacing w:after="110" w:before="320"/>
      </w:pPr>
      <w:r>
        <w:rPr>
          <w:rFonts w:ascii="Aptos" w:cs="Aptos" w:eastAsia="Aptos" w:hAnsi="Aptos"/>
          <w:b/>
          <w:bCs/>
          <w:sz w:val="23"/>
          <w:szCs w:val="23"/>
        </w:rPr>
        <w:t xml:space="preserve">PLANET MOTORS – RIMAC NEVERA R (page 15)</w:t>
      </w:r>
    </w:p>
    <w:tbl>
      <w:tblPr>
        <w:tblW w:type="dxa" w:w="8600"/>
        <w:tblBorders>
          <w:top w:val="single" w:color="000000" w:sz="4"/>
          <w:left w:val="single" w:color="000000" w:sz="4"/>
          <w:bottom w:val="single" w:color="000000" w:sz="4"/>
          <w:right w:val="single" w:color="000000" w:sz="4"/>
          <w:insideH w:val="single" w:color="000000" w:sz="4"/>
          <w:insideV w:val="single" w:color="000000" w:sz="4"/>
        </w:tblBorders>
      </w:tblPr>
      <w:tblGrid>
        <w:gridCol w:w="2200"/>
        <w:gridCol w:w="5700"/>
        <w:gridCol w:w="700"/>
      </w:tblGrid>
      <w:tr>
        <w:tc>
          <w:tcPr>
            <w:tcW w:type="dxa" w:w="2200"/>
            <w:tcMar>
              <w:top w:type="dxa" w:w="70"/>
              <w:left w:type="dxa" w:w="110"/>
              <w:bottom w:type="dxa" w:w="70"/>
              <w:right w:type="dxa" w:w="110"/>
            </w:tcMar>
          </w:tcPr>
          <w:p>
            <w:pPr>
              <w:spacing w:after="0"/>
            </w:pPr>
            <w:r>
              <w:rPr>
                <w:rFonts w:ascii="Aptos" w:cs="Aptos" w:eastAsia="Aptos" w:hAnsi="Aptos"/>
                <w:b/>
                <w:bCs/>
                <w:sz w:val="19"/>
                <w:szCs w:val="19"/>
              </w:rPr>
              <w:t xml:space="preserve">Curriculum area / subject</w:t>
            </w:r>
          </w:p>
        </w:tc>
        <w:tc>
          <w:tcPr>
            <w:tcW w:type="dxa" w:w="5700"/>
            <w:tcMar>
              <w:top w:type="dxa" w:w="70"/>
              <w:left w:type="dxa" w:w="110"/>
              <w:bottom w:type="dxa" w:w="70"/>
              <w:right w:type="dxa" w:w="110"/>
            </w:tcMar>
          </w:tcPr>
          <w:p>
            <w:pPr>
              <w:spacing w:after="0"/>
            </w:pPr>
            <w:r>
              <w:rPr>
                <w:rFonts w:ascii="Aptos" w:cs="Aptos" w:eastAsia="Aptos" w:hAnsi="Aptos"/>
                <w:sz w:val="19"/>
                <w:szCs w:val="19"/>
              </w:rPr>
              <w:t xml:space="preserve">STEM Education – Science, Technology and Engineering; Mathematics</w:t>
            </w:r>
          </w:p>
        </w:tc>
        <w:tc>
          <w:tcPr>
            <w:tcW w:type="dxa" w:w="700"/>
            <w:tcMar>
              <w:top w:type="dxa" w:w="70"/>
              <w:left w:type="dxa" w:w="110"/>
              <w:bottom w:type="dxa" w:w="70"/>
              <w:right w:type="dxa" w:w="110"/>
            </w:tcMar>
          </w:tcPr>
          <w:p>
            <w:pPr>
              <w:spacing w:after="0"/>
            </w:pPr>
            <w:r>
              <w:rPr>
                <w:rFonts w:ascii="Aptos" w:cs="Aptos" w:eastAsia="Aptos" w:hAnsi="Aptos"/>
                <w:sz w:val="19"/>
                <w:szCs w:val="19"/>
              </w:rPr>
              <w:t xml:space="preserve"/>
            </w:r>
          </w:p>
        </w:tc>
      </w:tr>
      <w:tr>
        <w:tc>
          <w:tcPr>
            <w:tcW w:type="dxa" w:w="2200"/>
            <w:tcMar>
              <w:top w:type="dxa" w:w="70"/>
              <w:left w:type="dxa" w:w="110"/>
              <w:bottom w:type="dxa" w:w="70"/>
              <w:right w:type="dxa" w:w="110"/>
            </w:tcMar>
          </w:tcPr>
          <w:p>
            <w:pPr>
              <w:spacing w:after="0"/>
            </w:pPr>
            <w:r>
              <w:rPr>
                <w:rFonts w:ascii="Aptos" w:cs="Aptos" w:eastAsia="Aptos" w:hAnsi="Aptos"/>
                <w:b/>
                <w:bCs/>
                <w:sz w:val="19"/>
                <w:szCs w:val="19"/>
              </w:rPr>
              <w:t xml:space="preserve">Strand / Strand Unit</w:t>
            </w:r>
          </w:p>
        </w:tc>
        <w:tc>
          <w:tcPr>
            <w:tcW w:type="dxa" w:w="5700"/>
            <w:tcMar>
              <w:top w:type="dxa" w:w="70"/>
              <w:left w:type="dxa" w:w="110"/>
              <w:bottom w:type="dxa" w:w="70"/>
              <w:right w:type="dxa" w:w="110"/>
            </w:tcMar>
          </w:tcPr>
          <w:p>
            <w:pPr>
              <w:spacing w:after="0"/>
            </w:pPr>
            <w:r>
              <w:rPr>
                <w:rFonts w:ascii="Aptos" w:cs="Aptos" w:eastAsia="Aptos" w:hAnsi="Aptos"/>
                <w:sz w:val="19"/>
                <w:szCs w:val="19"/>
              </w:rPr>
              <w:t xml:space="preserve">Energy and forces; Technology. Mathematics: Measures; Number.</w:t>
            </w:r>
          </w:p>
        </w:tc>
        <w:tc>
          <w:tcPr>
            <w:tcW w:type="dxa" w:w="700"/>
            <w:tcMar>
              <w:top w:type="dxa" w:w="70"/>
              <w:left w:type="dxa" w:w="110"/>
              <w:bottom w:type="dxa" w:w="70"/>
              <w:right w:type="dxa" w:w="110"/>
            </w:tcMar>
          </w:tcPr>
          <w:p>
            <w:pPr>
              <w:spacing w:after="0"/>
            </w:pPr>
            <w:r>
              <w:rPr>
                <w:rFonts w:ascii="Aptos" w:cs="Aptos" w:eastAsia="Aptos" w:hAnsi="Aptos"/>
                <w:sz w:val="19"/>
                <w:szCs w:val="19"/>
              </w:rPr>
              <w:t xml:space="preserve"/>
            </w:r>
          </w:p>
        </w:tc>
      </w:tr>
      <w:tr>
        <w:tc>
          <w:tcPr>
            <w:tcW w:type="dxa" w:w="2200"/>
            <w:tcMar>
              <w:top w:type="dxa" w:w="70"/>
              <w:left w:type="dxa" w:w="110"/>
              <w:bottom w:type="dxa" w:w="70"/>
              <w:right w:type="dxa" w:w="110"/>
            </w:tcMar>
          </w:tcPr>
          <w:p>
            <w:pPr>
              <w:spacing w:after="0"/>
            </w:pPr>
            <w:r>
              <w:rPr>
                <w:rFonts w:ascii="Aptos" w:cs="Aptos" w:eastAsia="Aptos" w:hAnsi="Aptos"/>
                <w:b/>
                <w:bCs/>
                <w:sz w:val="19"/>
                <w:szCs w:val="19"/>
              </w:rPr>
              <w:t xml:space="preserve">Issue focus</w:t>
            </w:r>
          </w:p>
        </w:tc>
        <w:tc>
          <w:tcPr>
            <w:tcW w:type="dxa" w:w="5700"/>
            <w:tcMar>
              <w:top w:type="dxa" w:w="70"/>
              <w:left w:type="dxa" w:w="110"/>
              <w:bottom w:type="dxa" w:w="70"/>
              <w:right w:type="dxa" w:w="110"/>
            </w:tcMar>
          </w:tcPr>
          <w:p>
            <w:pPr>
              <w:spacing w:after="0"/>
            </w:pPr>
            <w:r>
              <w:rPr>
                <w:rFonts w:ascii="Aptos" w:cs="Aptos" w:eastAsia="Aptos" w:hAnsi="Aptos"/>
                <w:sz w:val="19"/>
                <w:szCs w:val="19"/>
              </w:rPr>
              <w:t xml:space="preserve">Electric propulsion, acceleration from 0 to 100 km/h in 1.72 seconds, battery shielding and the engineering choices behind a record-breaking hypercar.</w:t>
            </w:r>
          </w:p>
        </w:tc>
        <w:tc>
          <w:tcPr>
            <w:tcW w:type="dxa" w:w="700"/>
            <w:tcMar>
              <w:top w:type="dxa" w:w="70"/>
              <w:left w:type="dxa" w:w="110"/>
              <w:bottom w:type="dxa" w:w="70"/>
              <w:right w:type="dxa" w:w="110"/>
            </w:tcMar>
          </w:tcPr>
          <w:p>
            <w:pPr>
              <w:spacing w:after="0"/>
            </w:pPr>
            <w:r>
              <w:rPr>
                <w:rFonts w:ascii="Aptos" w:cs="Aptos" w:eastAsia="Aptos" w:hAnsi="Aptos"/>
                <w:sz w:val="19"/>
                <w:szCs w:val="19"/>
              </w:rPr>
              <w:t xml:space="preserve"/>
            </w:r>
          </w:p>
        </w:tc>
      </w:tr>
      <w:tr>
        <w:tc>
          <w:tcPr>
            <w:tcW w:type="dxa" w:w="2200"/>
            <w:tcMar>
              <w:top w:type="dxa" w:w="70"/>
              <w:left w:type="dxa" w:w="110"/>
              <w:bottom w:type="dxa" w:w="70"/>
              <w:right w:type="dxa" w:w="110"/>
            </w:tcMar>
          </w:tcPr>
          <w:p>
            <w:pPr>
              <w:spacing w:after="0"/>
            </w:pPr>
            <w:r>
              <w:rPr>
                <w:rFonts w:ascii="Aptos" w:cs="Aptos" w:eastAsia="Aptos" w:hAnsi="Aptos"/>
                <w:b/>
                <w:bCs/>
                <w:sz w:val="19"/>
                <w:szCs w:val="19"/>
              </w:rPr>
              <w:t xml:space="preserve">Relevant Stage 4 learning outcomes</w:t>
            </w:r>
          </w:p>
        </w:tc>
        <w:tc>
          <w:tcPr>
            <w:tcW w:type="dxa" w:w="5700"/>
            <w:tcMar>
              <w:top w:type="dxa" w:w="70"/>
              <w:left w:type="dxa" w:w="110"/>
              <w:bottom w:type="dxa" w:w="70"/>
              <w:right w:type="dxa" w:w="110"/>
            </w:tcMar>
          </w:tcPr>
          <w:p>
            <w:pPr>
              <w:spacing w:after="80"/>
              <w:ind w:left="200" w:hanging="200"/>
            </w:pPr>
            <w:r>
              <w:rPr>
                <w:rFonts w:ascii="Aptos" w:cs="Aptos" w:eastAsia="Aptos" w:hAnsi="Aptos"/>
                <w:sz w:val="19"/>
                <w:szCs w:val="19"/>
              </w:rPr>
              <w:t xml:space="preserve">•  STE Energy and forces: research and investigate current environmental and societal issues related to energy, including the role that people are playing in reducing energy consumption and promoting the use of clean energy.</w:t>
            </w:r>
          </w:p>
          <w:p>
            <w:pPr>
              <w:spacing w:after="80"/>
              <w:ind w:left="200" w:hanging="200"/>
            </w:pPr>
            <w:r>
              <w:rPr>
                <w:rFonts w:ascii="Aptos" w:cs="Aptos" w:eastAsia="Aptos" w:hAnsi="Aptos"/>
                <w:sz w:val="19"/>
                <w:szCs w:val="19"/>
              </w:rPr>
              <w:t xml:space="preserve">•  STE Energy and forces: demonstrate an awareness of how their learning about energy and forces connects to the wider field of Physics. Conduct open-ended investigations on friction, gravity and the force of moving water.</w:t>
            </w:r>
          </w:p>
          <w:p>
            <w:pPr>
              <w:spacing w:after="0"/>
              <w:ind w:left="200" w:hanging="200"/>
            </w:pPr>
            <w:r>
              <w:rPr>
                <w:rFonts w:ascii="Aptos" w:cs="Aptos" w:eastAsia="Aptos" w:hAnsi="Aptos"/>
                <w:sz w:val="19"/>
                <w:szCs w:val="19"/>
              </w:rPr>
              <w:t xml:space="preserve">•  STE Materials: identify and discuss the properties of materials that need to be considered when constructing objects, structures, fashion and food.</w:t>
            </w:r>
          </w:p>
        </w:tc>
        <w:tc>
          <w:tcPr>
            <w:tcW w:type="dxa" w:w="700"/>
            <w:tcMar>
              <w:top w:type="dxa" w:w="70"/>
              <w:left w:type="dxa" w:w="110"/>
              <w:bottom w:type="dxa" w:w="70"/>
              <w:right w:type="dxa" w:w="110"/>
            </w:tcMar>
          </w:tcPr>
          <w:p>
            <w:pPr>
              <w:spacing w:after="0"/>
            </w:pPr>
            <w:r>
              <w:rPr>
                <w:rFonts w:ascii="Aptos" w:cs="Aptos" w:eastAsia="Aptos" w:hAnsi="Aptos"/>
                <w:sz w:val="19"/>
                <w:szCs w:val="19"/>
              </w:rPr>
              <w:t xml:space="preserve"/>
            </w:r>
          </w:p>
        </w:tc>
      </w:tr>
      <w:tr>
        <w:tc>
          <w:tcPr>
            <w:tcW w:type="dxa" w:w="2200"/>
            <w:tcMar>
              <w:top w:type="dxa" w:w="70"/>
              <w:left w:type="dxa" w:w="110"/>
              <w:bottom w:type="dxa" w:w="70"/>
              <w:right w:type="dxa" w:w="110"/>
            </w:tcMar>
          </w:tcPr>
          <w:p>
            <w:pPr>
              <w:spacing w:after="0"/>
            </w:pPr>
            <w:r>
              <w:rPr>
                <w:rFonts w:ascii="Aptos" w:cs="Aptos" w:eastAsia="Aptos" w:hAnsi="Aptos"/>
                <w:b/>
                <w:bCs/>
                <w:sz w:val="19"/>
                <w:szCs w:val="19"/>
              </w:rPr>
              <w:t xml:space="preserve">Integration</w:t>
            </w:r>
          </w:p>
        </w:tc>
        <w:tc>
          <w:tcPr>
            <w:tcW w:type="dxa" w:w="5700"/>
            <w:tcMar>
              <w:top w:type="dxa" w:w="70"/>
              <w:left w:type="dxa" w:w="110"/>
              <w:bottom w:type="dxa" w:w="70"/>
              <w:right w:type="dxa" w:w="110"/>
            </w:tcMar>
          </w:tcPr>
          <w:p>
            <w:pPr>
              <w:spacing w:after="0"/>
            </w:pPr>
            <w:r>
              <w:rPr>
                <w:rFonts w:ascii="Aptos" w:cs="Aptos" w:eastAsia="Aptos" w:hAnsi="Aptos"/>
                <w:sz w:val="19"/>
                <w:szCs w:val="19"/>
              </w:rPr>
              <w:t xml:space="preserve">Language – technical explanation. SEE – manufacturing, trade and the cost of new technology.</w:t>
            </w:r>
          </w:p>
        </w:tc>
        <w:tc>
          <w:tcPr>
            <w:tcW w:type="dxa" w:w="700"/>
            <w:tcMar>
              <w:top w:type="dxa" w:w="70"/>
              <w:left w:type="dxa" w:w="110"/>
              <w:bottom w:type="dxa" w:w="70"/>
              <w:right w:type="dxa" w:w="110"/>
            </w:tcMar>
          </w:tcPr>
          <w:p>
            <w:pPr>
              <w:spacing w:after="0"/>
            </w:pPr>
            <w:r>
              <w:rPr>
                <w:rFonts w:ascii="Aptos" w:cs="Aptos" w:eastAsia="Aptos" w:hAnsi="Aptos"/>
                <w:sz w:val="19"/>
                <w:szCs w:val="19"/>
              </w:rPr>
              <w:t xml:space="preserve"/>
            </w:r>
          </w:p>
        </w:tc>
      </w:tr>
    </w:tbl>
    <w:p>
      <w:pPr>
        <w:pBdr>
          <w:bottom w:val="single" w:color="999999" w:sz="4" w:space="6"/>
        </w:pBdr>
        <w:spacing w:after="110" w:before="320"/>
      </w:pPr>
      <w:r>
        <w:rPr>
          <w:rFonts w:ascii="Aptos" w:cs="Aptos" w:eastAsia="Aptos" w:hAnsi="Aptos"/>
          <w:b/>
          <w:bCs/>
          <w:sz w:val="23"/>
          <w:szCs w:val="23"/>
        </w:rPr>
        <w:t xml:space="preserve">HOUDINI 100 SPECIAL (pages 16 and 17)</w:t>
      </w:r>
    </w:p>
    <w:tbl>
      <w:tblPr>
        <w:tblW w:type="dxa" w:w="8600"/>
        <w:tblBorders>
          <w:top w:val="single" w:color="000000" w:sz="4"/>
          <w:left w:val="single" w:color="000000" w:sz="4"/>
          <w:bottom w:val="single" w:color="000000" w:sz="4"/>
          <w:right w:val="single" w:color="000000" w:sz="4"/>
          <w:insideH w:val="single" w:color="000000" w:sz="4"/>
          <w:insideV w:val="single" w:color="000000" w:sz="4"/>
        </w:tblBorders>
      </w:tblPr>
      <w:tblGrid>
        <w:gridCol w:w="2200"/>
        <w:gridCol w:w="5700"/>
        <w:gridCol w:w="700"/>
      </w:tblGrid>
      <w:tr>
        <w:tc>
          <w:tcPr>
            <w:tcW w:type="dxa" w:w="2200"/>
            <w:tcMar>
              <w:top w:type="dxa" w:w="70"/>
              <w:left w:type="dxa" w:w="110"/>
              <w:bottom w:type="dxa" w:w="70"/>
              <w:right w:type="dxa" w:w="110"/>
            </w:tcMar>
          </w:tcPr>
          <w:p>
            <w:pPr>
              <w:spacing w:after="0"/>
            </w:pPr>
            <w:r>
              <w:rPr>
                <w:rFonts w:ascii="Aptos" w:cs="Aptos" w:eastAsia="Aptos" w:hAnsi="Aptos"/>
                <w:b/>
                <w:bCs/>
                <w:sz w:val="19"/>
                <w:szCs w:val="19"/>
              </w:rPr>
              <w:t xml:space="preserve">Curriculum area / subject</w:t>
            </w:r>
          </w:p>
        </w:tc>
        <w:tc>
          <w:tcPr>
            <w:tcW w:type="dxa" w:w="5700"/>
            <w:tcMar>
              <w:top w:type="dxa" w:w="70"/>
              <w:left w:type="dxa" w:w="110"/>
              <w:bottom w:type="dxa" w:w="70"/>
              <w:right w:type="dxa" w:w="110"/>
            </w:tcMar>
          </w:tcPr>
          <w:p>
            <w:pPr>
              <w:spacing w:after="0"/>
            </w:pPr>
            <w:r>
              <w:rPr>
                <w:rFonts w:ascii="Aptos" w:cs="Aptos" w:eastAsia="Aptos" w:hAnsi="Aptos"/>
                <w:sz w:val="19"/>
                <w:szCs w:val="19"/>
              </w:rPr>
              <w:t xml:space="preserve">Language – English; Social and Environmental Education – History</w:t>
            </w:r>
          </w:p>
        </w:tc>
        <w:tc>
          <w:tcPr>
            <w:tcW w:type="dxa" w:w="700"/>
            <w:tcMar>
              <w:top w:type="dxa" w:w="70"/>
              <w:left w:type="dxa" w:w="110"/>
              <w:bottom w:type="dxa" w:w="70"/>
              <w:right w:type="dxa" w:w="110"/>
            </w:tcMar>
          </w:tcPr>
          <w:p>
            <w:pPr>
              <w:spacing w:after="0"/>
            </w:pPr>
            <w:r>
              <w:rPr>
                <w:rFonts w:ascii="Aptos" w:cs="Aptos" w:eastAsia="Aptos" w:hAnsi="Aptos"/>
                <w:sz w:val="19"/>
                <w:szCs w:val="19"/>
              </w:rPr>
              <w:t xml:space="preserve"/>
            </w:r>
          </w:p>
        </w:tc>
      </w:tr>
      <w:tr>
        <w:tc>
          <w:tcPr>
            <w:tcW w:type="dxa" w:w="2200"/>
            <w:tcMar>
              <w:top w:type="dxa" w:w="70"/>
              <w:left w:type="dxa" w:w="110"/>
              <w:bottom w:type="dxa" w:w="70"/>
              <w:right w:type="dxa" w:w="110"/>
            </w:tcMar>
          </w:tcPr>
          <w:p>
            <w:pPr>
              <w:spacing w:after="0"/>
            </w:pPr>
            <w:r>
              <w:rPr>
                <w:rFonts w:ascii="Aptos" w:cs="Aptos" w:eastAsia="Aptos" w:hAnsi="Aptos"/>
                <w:b/>
                <w:bCs/>
                <w:sz w:val="19"/>
                <w:szCs w:val="19"/>
              </w:rPr>
              <w:t xml:space="preserve">Strand / Strand Unit</w:t>
            </w:r>
          </w:p>
        </w:tc>
        <w:tc>
          <w:tcPr>
            <w:tcW w:type="dxa" w:w="5700"/>
            <w:tcMar>
              <w:top w:type="dxa" w:w="70"/>
              <w:left w:type="dxa" w:w="110"/>
              <w:bottom w:type="dxa" w:w="70"/>
              <w:right w:type="dxa" w:w="110"/>
            </w:tcMar>
          </w:tcPr>
          <w:p>
            <w:pPr>
              <w:spacing w:after="0"/>
            </w:pPr>
            <w:r>
              <w:rPr>
                <w:rFonts w:ascii="Aptos" w:cs="Aptos" w:eastAsia="Aptos" w:hAnsi="Aptos"/>
                <w:sz w:val="19"/>
                <w:szCs w:val="19"/>
              </w:rPr>
              <w:t xml:space="preserve">Reading comprehension; Oral language. SEE: Europe and the wider world; Working as a historian.</w:t>
            </w:r>
          </w:p>
        </w:tc>
        <w:tc>
          <w:tcPr>
            <w:tcW w:type="dxa" w:w="700"/>
            <w:tcMar>
              <w:top w:type="dxa" w:w="70"/>
              <w:left w:type="dxa" w:w="110"/>
              <w:bottom w:type="dxa" w:w="70"/>
              <w:right w:type="dxa" w:w="110"/>
            </w:tcMar>
          </w:tcPr>
          <w:p>
            <w:pPr>
              <w:spacing w:after="0"/>
            </w:pPr>
            <w:r>
              <w:rPr>
                <w:rFonts w:ascii="Aptos" w:cs="Aptos" w:eastAsia="Aptos" w:hAnsi="Aptos"/>
                <w:sz w:val="19"/>
                <w:szCs w:val="19"/>
              </w:rPr>
              <w:t xml:space="preserve"/>
            </w:r>
          </w:p>
        </w:tc>
      </w:tr>
      <w:tr>
        <w:tc>
          <w:tcPr>
            <w:tcW w:type="dxa" w:w="2200"/>
            <w:tcMar>
              <w:top w:type="dxa" w:w="70"/>
              <w:left w:type="dxa" w:w="110"/>
              <w:bottom w:type="dxa" w:w="70"/>
              <w:right w:type="dxa" w:w="110"/>
            </w:tcMar>
          </w:tcPr>
          <w:p>
            <w:pPr>
              <w:spacing w:after="0"/>
            </w:pPr>
            <w:r>
              <w:rPr>
                <w:rFonts w:ascii="Aptos" w:cs="Aptos" w:eastAsia="Aptos" w:hAnsi="Aptos"/>
                <w:b/>
                <w:bCs/>
                <w:sz w:val="19"/>
                <w:szCs w:val="19"/>
              </w:rPr>
              <w:t xml:space="preserve">Issue focus</w:t>
            </w:r>
          </w:p>
        </w:tc>
        <w:tc>
          <w:tcPr>
            <w:tcW w:type="dxa" w:w="5700"/>
            <w:tcMar>
              <w:top w:type="dxa" w:w="70"/>
              <w:left w:type="dxa" w:w="110"/>
              <w:bottom w:type="dxa" w:w="70"/>
              <w:right w:type="dxa" w:w="110"/>
            </w:tcMar>
          </w:tcPr>
          <w:p>
            <w:pPr>
              <w:spacing w:after="0"/>
            </w:pPr>
            <w:r>
              <w:rPr>
                <w:rFonts w:ascii="Aptos" w:cs="Aptos" w:eastAsia="Aptos" w:hAnsi="Aptos"/>
                <w:sz w:val="19"/>
                <w:szCs w:val="19"/>
              </w:rPr>
              <w:t xml:space="preserve">Erik Weisz of Budapest, the police-cell challenges, the Water Torture Cell, the campaign against fake mediums, the fall-out with Sir Arthur Conan Doyle, and the disputed account of his death on Hallowe’en 1926.</w:t>
            </w:r>
          </w:p>
        </w:tc>
        <w:tc>
          <w:tcPr>
            <w:tcW w:type="dxa" w:w="700"/>
            <w:tcMar>
              <w:top w:type="dxa" w:w="70"/>
              <w:left w:type="dxa" w:w="110"/>
              <w:bottom w:type="dxa" w:w="70"/>
              <w:right w:type="dxa" w:w="110"/>
            </w:tcMar>
          </w:tcPr>
          <w:p>
            <w:pPr>
              <w:spacing w:after="0"/>
            </w:pPr>
            <w:r>
              <w:rPr>
                <w:rFonts w:ascii="Aptos" w:cs="Aptos" w:eastAsia="Aptos" w:hAnsi="Aptos"/>
                <w:sz w:val="19"/>
                <w:szCs w:val="19"/>
              </w:rPr>
              <w:t xml:space="preserve"/>
            </w:r>
          </w:p>
        </w:tc>
      </w:tr>
      <w:tr>
        <w:tc>
          <w:tcPr>
            <w:tcW w:type="dxa" w:w="2200"/>
            <w:tcMar>
              <w:top w:type="dxa" w:w="70"/>
              <w:left w:type="dxa" w:w="110"/>
              <w:bottom w:type="dxa" w:w="70"/>
              <w:right w:type="dxa" w:w="110"/>
            </w:tcMar>
          </w:tcPr>
          <w:p>
            <w:pPr>
              <w:spacing w:after="0"/>
            </w:pPr>
            <w:r>
              <w:rPr>
                <w:rFonts w:ascii="Aptos" w:cs="Aptos" w:eastAsia="Aptos" w:hAnsi="Aptos"/>
                <w:b/>
                <w:bCs/>
                <w:sz w:val="19"/>
                <w:szCs w:val="19"/>
              </w:rPr>
              <w:t xml:space="preserve">Relevant Stage 4 learning outcomes</w:t>
            </w:r>
          </w:p>
        </w:tc>
        <w:tc>
          <w:tcPr>
            <w:tcW w:type="dxa" w:w="5700"/>
            <w:tcMar>
              <w:top w:type="dxa" w:w="70"/>
              <w:left w:type="dxa" w:w="110"/>
              <w:bottom w:type="dxa" w:w="70"/>
              <w:right w:type="dxa" w:w="110"/>
            </w:tcMar>
          </w:tcPr>
          <w:p>
            <w:pPr>
              <w:spacing w:after="80"/>
              <w:ind w:left="200" w:hanging="200"/>
            </w:pPr>
            <w:r>
              <w:rPr>
                <w:rFonts w:ascii="Aptos" w:cs="Aptos" w:eastAsia="Aptos" w:hAnsi="Aptos"/>
                <w:sz w:val="19"/>
                <w:szCs w:val="19"/>
              </w:rPr>
              <w:t xml:space="preserve">•  Reading, Comprehension: choose, justify, and apply comprehension strategies to engage with text in a variety of genres across the curriculum, independently or collaboratively, and continue to draw on background knowledge; compare and synthesize information, thoughts, and ideas from a variety of text sources.</w:t>
            </w:r>
          </w:p>
          <w:p>
            <w:pPr>
              <w:spacing w:after="80"/>
              <w:ind w:left="200" w:hanging="200"/>
            </w:pPr>
            <w:r>
              <w:rPr>
                <w:rFonts w:ascii="Aptos" w:cs="Aptos" w:eastAsia="Aptos" w:hAnsi="Aptos"/>
                <w:sz w:val="19"/>
                <w:szCs w:val="19"/>
              </w:rPr>
              <w:t xml:space="preserve">•  SEE History, Europe and the wider world: explore stories that highlight how the lives of men, women and children from different cultural and ethnic backgrounds have changed or remained the same over time.</w:t>
            </w:r>
          </w:p>
          <w:p>
            <w:pPr>
              <w:spacing w:after="0"/>
              <w:ind w:left="200" w:hanging="200"/>
            </w:pPr>
            <w:r>
              <w:rPr>
                <w:rFonts w:ascii="Aptos" w:cs="Aptos" w:eastAsia="Aptos" w:hAnsi="Aptos"/>
                <w:sz w:val="19"/>
                <w:szCs w:val="19"/>
              </w:rPr>
              <w:t xml:space="preserve">•  Reading, Purpose, genre and voice: recognise and examine the implications of culture and identity on the creation of texts across a range of genres; critically reflect on their response to the aesthetic, creative, and imaginative aspects of a wide range of texts in various genres across the curriculum.</w:t>
            </w:r>
          </w:p>
        </w:tc>
        <w:tc>
          <w:tcPr>
            <w:tcW w:type="dxa" w:w="700"/>
            <w:tcMar>
              <w:top w:type="dxa" w:w="70"/>
              <w:left w:type="dxa" w:w="110"/>
              <w:bottom w:type="dxa" w:w="70"/>
              <w:right w:type="dxa" w:w="110"/>
            </w:tcMar>
          </w:tcPr>
          <w:p>
            <w:pPr>
              <w:spacing w:after="0"/>
            </w:pPr>
            <w:r>
              <w:rPr>
                <w:rFonts w:ascii="Aptos" w:cs="Aptos" w:eastAsia="Aptos" w:hAnsi="Aptos"/>
                <w:sz w:val="19"/>
                <w:szCs w:val="19"/>
              </w:rPr>
              <w:t xml:space="preserve"/>
            </w:r>
          </w:p>
        </w:tc>
      </w:tr>
      <w:tr>
        <w:tc>
          <w:tcPr>
            <w:tcW w:type="dxa" w:w="2200"/>
            <w:tcMar>
              <w:top w:type="dxa" w:w="70"/>
              <w:left w:type="dxa" w:w="110"/>
              <w:bottom w:type="dxa" w:w="70"/>
              <w:right w:type="dxa" w:w="110"/>
            </w:tcMar>
          </w:tcPr>
          <w:p>
            <w:pPr>
              <w:spacing w:after="0"/>
            </w:pPr>
            <w:r>
              <w:rPr>
                <w:rFonts w:ascii="Aptos" w:cs="Aptos" w:eastAsia="Aptos" w:hAnsi="Aptos"/>
                <w:b/>
                <w:bCs/>
                <w:sz w:val="19"/>
                <w:szCs w:val="19"/>
              </w:rPr>
              <w:t xml:space="preserve">Integration</w:t>
            </w:r>
          </w:p>
        </w:tc>
        <w:tc>
          <w:tcPr>
            <w:tcW w:type="dxa" w:w="5700"/>
            <w:tcMar>
              <w:top w:type="dxa" w:w="70"/>
              <w:left w:type="dxa" w:w="110"/>
              <w:bottom w:type="dxa" w:w="70"/>
              <w:right w:type="dxa" w:w="110"/>
            </w:tcMar>
          </w:tcPr>
          <w:p>
            <w:pPr>
              <w:spacing w:after="0"/>
            </w:pPr>
            <w:r>
              <w:rPr>
                <w:rFonts w:ascii="Aptos" w:cs="Aptos" w:eastAsia="Aptos" w:hAnsi="Aptos"/>
                <w:sz w:val="19"/>
                <w:szCs w:val="19"/>
              </w:rPr>
              <w:t xml:space="preserve">The Master of Mystery comprehension and the Design the Escape activity in the Resource Pack.</w:t>
            </w:r>
          </w:p>
        </w:tc>
        <w:tc>
          <w:tcPr>
            <w:tcW w:type="dxa" w:w="700"/>
            <w:tcMar>
              <w:top w:type="dxa" w:w="70"/>
              <w:left w:type="dxa" w:w="110"/>
              <w:bottom w:type="dxa" w:w="70"/>
              <w:right w:type="dxa" w:w="110"/>
            </w:tcMar>
          </w:tcPr>
          <w:p>
            <w:pPr>
              <w:spacing w:after="0"/>
            </w:pPr>
            <w:r>
              <w:rPr>
                <w:rFonts w:ascii="Aptos" w:cs="Aptos" w:eastAsia="Aptos" w:hAnsi="Aptos"/>
                <w:sz w:val="19"/>
                <w:szCs w:val="19"/>
              </w:rPr>
              <w:t xml:space="preserve"/>
            </w:r>
          </w:p>
        </w:tc>
      </w:tr>
    </w:tbl>
    <w:p>
      <w:pPr>
        <w:pBdr>
          <w:bottom w:val="single" w:color="999999" w:sz="4" w:space="6"/>
        </w:pBdr>
        <w:spacing w:after="110" w:before="320"/>
      </w:pPr>
      <w:r>
        <w:rPr>
          <w:rFonts w:ascii="Aptos" w:cs="Aptos" w:eastAsia="Aptos" w:hAnsi="Aptos"/>
          <w:b/>
          <w:bCs/>
          <w:sz w:val="23"/>
          <w:szCs w:val="23"/>
        </w:rPr>
        <w:t xml:space="preserve">SPACE WEEK SPECIAL (pages 18 and 19)</w:t>
      </w:r>
    </w:p>
    <w:tbl>
      <w:tblPr>
        <w:tblW w:type="dxa" w:w="8600"/>
        <w:tblBorders>
          <w:top w:val="single" w:color="000000" w:sz="4"/>
          <w:left w:val="single" w:color="000000" w:sz="4"/>
          <w:bottom w:val="single" w:color="000000" w:sz="4"/>
          <w:right w:val="single" w:color="000000" w:sz="4"/>
          <w:insideH w:val="single" w:color="000000" w:sz="4"/>
          <w:insideV w:val="single" w:color="000000" w:sz="4"/>
        </w:tblBorders>
      </w:tblPr>
      <w:tblGrid>
        <w:gridCol w:w="2200"/>
        <w:gridCol w:w="5700"/>
        <w:gridCol w:w="700"/>
      </w:tblGrid>
      <w:tr>
        <w:tc>
          <w:tcPr>
            <w:tcW w:type="dxa" w:w="2200"/>
            <w:tcMar>
              <w:top w:type="dxa" w:w="70"/>
              <w:left w:type="dxa" w:w="110"/>
              <w:bottom w:type="dxa" w:w="70"/>
              <w:right w:type="dxa" w:w="110"/>
            </w:tcMar>
          </w:tcPr>
          <w:p>
            <w:pPr>
              <w:spacing w:after="0"/>
            </w:pPr>
            <w:r>
              <w:rPr>
                <w:rFonts w:ascii="Aptos" w:cs="Aptos" w:eastAsia="Aptos" w:hAnsi="Aptos"/>
                <w:b/>
                <w:bCs/>
                <w:sz w:val="19"/>
                <w:szCs w:val="19"/>
              </w:rPr>
              <w:t xml:space="preserve">Curriculum area / subject</w:t>
            </w:r>
          </w:p>
        </w:tc>
        <w:tc>
          <w:tcPr>
            <w:tcW w:type="dxa" w:w="5700"/>
            <w:tcMar>
              <w:top w:type="dxa" w:w="70"/>
              <w:left w:type="dxa" w:w="110"/>
              <w:bottom w:type="dxa" w:w="70"/>
              <w:right w:type="dxa" w:w="110"/>
            </w:tcMar>
          </w:tcPr>
          <w:p>
            <w:pPr>
              <w:spacing w:after="0"/>
            </w:pPr>
            <w:r>
              <w:rPr>
                <w:rFonts w:ascii="Aptos" w:cs="Aptos" w:eastAsia="Aptos" w:hAnsi="Aptos"/>
                <w:sz w:val="19"/>
                <w:szCs w:val="19"/>
              </w:rPr>
              <w:t xml:space="preserve">Social and Environmental Education – History and Geography; STEM Education – Science</w:t>
            </w:r>
          </w:p>
        </w:tc>
        <w:tc>
          <w:tcPr>
            <w:tcW w:type="dxa" w:w="700"/>
            <w:tcMar>
              <w:top w:type="dxa" w:w="70"/>
              <w:left w:type="dxa" w:w="110"/>
              <w:bottom w:type="dxa" w:w="70"/>
              <w:right w:type="dxa" w:w="110"/>
            </w:tcMar>
          </w:tcPr>
          <w:p>
            <w:pPr>
              <w:spacing w:after="0"/>
            </w:pPr>
            <w:r>
              <w:rPr>
                <w:rFonts w:ascii="Aptos" w:cs="Aptos" w:eastAsia="Aptos" w:hAnsi="Aptos"/>
                <w:sz w:val="19"/>
                <w:szCs w:val="19"/>
              </w:rPr>
              <w:t xml:space="preserve"/>
            </w:r>
          </w:p>
        </w:tc>
      </w:tr>
      <w:tr>
        <w:tc>
          <w:tcPr>
            <w:tcW w:type="dxa" w:w="2200"/>
            <w:tcMar>
              <w:top w:type="dxa" w:w="70"/>
              <w:left w:type="dxa" w:w="110"/>
              <w:bottom w:type="dxa" w:w="70"/>
              <w:right w:type="dxa" w:w="110"/>
            </w:tcMar>
          </w:tcPr>
          <w:p>
            <w:pPr>
              <w:spacing w:after="0"/>
            </w:pPr>
            <w:r>
              <w:rPr>
                <w:rFonts w:ascii="Aptos" w:cs="Aptos" w:eastAsia="Aptos" w:hAnsi="Aptos"/>
                <w:b/>
                <w:bCs/>
                <w:sz w:val="19"/>
                <w:szCs w:val="19"/>
              </w:rPr>
              <w:t xml:space="preserve">Strand / Strand Unit</w:t>
            </w:r>
          </w:p>
        </w:tc>
        <w:tc>
          <w:tcPr>
            <w:tcW w:type="dxa" w:w="5700"/>
            <w:tcMar>
              <w:top w:type="dxa" w:w="70"/>
              <w:left w:type="dxa" w:w="110"/>
              <w:bottom w:type="dxa" w:w="70"/>
              <w:right w:type="dxa" w:w="110"/>
            </w:tcMar>
          </w:tcPr>
          <w:p>
            <w:pPr>
              <w:spacing w:after="0"/>
            </w:pPr>
            <w:r>
              <w:rPr>
                <w:rFonts w:ascii="Aptos" w:cs="Aptos" w:eastAsia="Aptos" w:hAnsi="Aptos"/>
                <w:sz w:val="19"/>
                <w:szCs w:val="19"/>
              </w:rPr>
              <w:t xml:space="preserve">Europe and the wider world; Continuity and change over time. Science: Nature of STEM.</w:t>
            </w:r>
          </w:p>
        </w:tc>
        <w:tc>
          <w:tcPr>
            <w:tcW w:type="dxa" w:w="700"/>
            <w:tcMar>
              <w:top w:type="dxa" w:w="70"/>
              <w:left w:type="dxa" w:w="110"/>
              <w:bottom w:type="dxa" w:w="70"/>
              <w:right w:type="dxa" w:w="110"/>
            </w:tcMar>
          </w:tcPr>
          <w:p>
            <w:pPr>
              <w:spacing w:after="0"/>
            </w:pPr>
            <w:r>
              <w:rPr>
                <w:rFonts w:ascii="Aptos" w:cs="Aptos" w:eastAsia="Aptos" w:hAnsi="Aptos"/>
                <w:sz w:val="19"/>
                <w:szCs w:val="19"/>
              </w:rPr>
              <w:t xml:space="preserve"/>
            </w:r>
          </w:p>
        </w:tc>
      </w:tr>
      <w:tr>
        <w:tc>
          <w:tcPr>
            <w:tcW w:type="dxa" w:w="2200"/>
            <w:tcMar>
              <w:top w:type="dxa" w:w="70"/>
              <w:left w:type="dxa" w:w="110"/>
              <w:bottom w:type="dxa" w:w="70"/>
              <w:right w:type="dxa" w:w="110"/>
            </w:tcMar>
          </w:tcPr>
          <w:p>
            <w:pPr>
              <w:spacing w:after="0"/>
            </w:pPr>
            <w:r>
              <w:rPr>
                <w:rFonts w:ascii="Aptos" w:cs="Aptos" w:eastAsia="Aptos" w:hAnsi="Aptos"/>
                <w:b/>
                <w:bCs/>
                <w:sz w:val="19"/>
                <w:szCs w:val="19"/>
              </w:rPr>
              <w:t xml:space="preserve">Issue focus</w:t>
            </w:r>
          </w:p>
        </w:tc>
        <w:tc>
          <w:tcPr>
            <w:tcW w:type="dxa" w:w="5700"/>
            <w:tcMar>
              <w:top w:type="dxa" w:w="70"/>
              <w:left w:type="dxa" w:w="110"/>
              <w:bottom w:type="dxa" w:w="70"/>
              <w:right w:type="dxa" w:w="110"/>
            </w:tcMar>
          </w:tcPr>
          <w:p>
            <w:pPr>
              <w:spacing w:after="0"/>
            </w:pPr>
            <w:r>
              <w:rPr>
                <w:rFonts w:ascii="Aptos" w:cs="Aptos" w:eastAsia="Aptos" w:hAnsi="Aptos"/>
                <w:sz w:val="19"/>
                <w:szCs w:val="19"/>
              </w:rPr>
              <w:t xml:space="preserve">World Space Week, eight monuments to the people, animals and machines of space exploration, Yuri Gagarin’s 42.5-metre titanium figure in Moscow, Valentina Tereshkova, and the memorial left on the Moon itself.</w:t>
            </w:r>
          </w:p>
        </w:tc>
        <w:tc>
          <w:tcPr>
            <w:tcW w:type="dxa" w:w="700"/>
            <w:tcMar>
              <w:top w:type="dxa" w:w="70"/>
              <w:left w:type="dxa" w:w="110"/>
              <w:bottom w:type="dxa" w:w="70"/>
              <w:right w:type="dxa" w:w="110"/>
            </w:tcMar>
          </w:tcPr>
          <w:p>
            <w:pPr>
              <w:spacing w:after="0"/>
            </w:pPr>
            <w:r>
              <w:rPr>
                <w:rFonts w:ascii="Aptos" w:cs="Aptos" w:eastAsia="Aptos" w:hAnsi="Aptos"/>
                <w:sz w:val="19"/>
                <w:szCs w:val="19"/>
              </w:rPr>
              <w:t xml:space="preserve"/>
            </w:r>
          </w:p>
        </w:tc>
      </w:tr>
      <w:tr>
        <w:tc>
          <w:tcPr>
            <w:tcW w:type="dxa" w:w="2200"/>
            <w:tcMar>
              <w:top w:type="dxa" w:w="70"/>
              <w:left w:type="dxa" w:w="110"/>
              <w:bottom w:type="dxa" w:w="70"/>
              <w:right w:type="dxa" w:w="110"/>
            </w:tcMar>
          </w:tcPr>
          <w:p>
            <w:pPr>
              <w:spacing w:after="0"/>
            </w:pPr>
            <w:r>
              <w:rPr>
                <w:rFonts w:ascii="Aptos" w:cs="Aptos" w:eastAsia="Aptos" w:hAnsi="Aptos"/>
                <w:b/>
                <w:bCs/>
                <w:sz w:val="19"/>
                <w:szCs w:val="19"/>
              </w:rPr>
              <w:t xml:space="preserve">Relevant Stage 4 learning outcomes</w:t>
            </w:r>
          </w:p>
        </w:tc>
        <w:tc>
          <w:tcPr>
            <w:tcW w:type="dxa" w:w="5700"/>
            <w:tcMar>
              <w:top w:type="dxa" w:w="70"/>
              <w:left w:type="dxa" w:w="110"/>
              <w:bottom w:type="dxa" w:w="70"/>
              <w:right w:type="dxa" w:w="110"/>
            </w:tcMar>
          </w:tcPr>
          <w:p>
            <w:pPr>
              <w:spacing w:after="80"/>
              <w:ind w:left="200" w:hanging="200"/>
            </w:pPr>
            <w:r>
              <w:rPr>
                <w:rFonts w:ascii="Aptos" w:cs="Aptos" w:eastAsia="Aptos" w:hAnsi="Aptos"/>
                <w:sz w:val="19"/>
                <w:szCs w:val="19"/>
              </w:rPr>
              <w:t xml:space="preserve">•  SEE Geography, Europe and the wider world: examine aspects of the interrelationship between Earth and other bodies in the solar system.</w:t>
            </w:r>
          </w:p>
          <w:p>
            <w:pPr>
              <w:spacing w:after="80"/>
              <w:ind w:left="200" w:hanging="200"/>
            </w:pPr>
            <w:r>
              <w:rPr>
                <w:rFonts w:ascii="Aptos" w:cs="Aptos" w:eastAsia="Aptos" w:hAnsi="Aptos"/>
                <w:sz w:val="19"/>
                <w:szCs w:val="19"/>
              </w:rPr>
              <w:t xml:space="preserve">•  SEE History, Europe and the wider world: examine evidence and deepen awareness about the lives of people and the ways of life in ancient societies.</w:t>
            </w:r>
          </w:p>
          <w:p>
            <w:pPr>
              <w:spacing w:after="0"/>
              <w:ind w:left="200" w:hanging="200"/>
            </w:pPr>
            <w:r>
              <w:rPr>
                <w:rFonts w:ascii="Aptos" w:cs="Aptos" w:eastAsia="Aptos" w:hAnsi="Aptos"/>
                <w:sz w:val="19"/>
                <w:szCs w:val="19"/>
              </w:rPr>
              <w:t xml:space="preserve">•  STE Materials: identify and discuss the properties of materials that need to be considered when constructing objects, structures, fashion and food.</w:t>
            </w:r>
          </w:p>
        </w:tc>
        <w:tc>
          <w:tcPr>
            <w:tcW w:type="dxa" w:w="700"/>
            <w:tcMar>
              <w:top w:type="dxa" w:w="70"/>
              <w:left w:type="dxa" w:w="110"/>
              <w:bottom w:type="dxa" w:w="70"/>
              <w:right w:type="dxa" w:w="110"/>
            </w:tcMar>
          </w:tcPr>
          <w:p>
            <w:pPr>
              <w:spacing w:after="0"/>
            </w:pPr>
            <w:r>
              <w:rPr>
                <w:rFonts w:ascii="Aptos" w:cs="Aptos" w:eastAsia="Aptos" w:hAnsi="Aptos"/>
                <w:sz w:val="19"/>
                <w:szCs w:val="19"/>
              </w:rPr>
              <w:t xml:space="preserve"/>
            </w:r>
          </w:p>
        </w:tc>
      </w:tr>
      <w:tr>
        <w:tc>
          <w:tcPr>
            <w:tcW w:type="dxa" w:w="2200"/>
            <w:tcMar>
              <w:top w:type="dxa" w:w="70"/>
              <w:left w:type="dxa" w:w="110"/>
              <w:bottom w:type="dxa" w:w="70"/>
              <w:right w:type="dxa" w:w="110"/>
            </w:tcMar>
          </w:tcPr>
          <w:p>
            <w:pPr>
              <w:spacing w:after="0"/>
            </w:pPr>
            <w:r>
              <w:rPr>
                <w:rFonts w:ascii="Aptos" w:cs="Aptos" w:eastAsia="Aptos" w:hAnsi="Aptos"/>
                <w:b/>
                <w:bCs/>
                <w:sz w:val="19"/>
                <w:szCs w:val="19"/>
              </w:rPr>
              <w:t xml:space="preserve">Integration</w:t>
            </w:r>
          </w:p>
        </w:tc>
        <w:tc>
          <w:tcPr>
            <w:tcW w:type="dxa" w:w="5700"/>
            <w:tcMar>
              <w:top w:type="dxa" w:w="70"/>
              <w:left w:type="dxa" w:w="110"/>
              <w:bottom w:type="dxa" w:w="70"/>
              <w:right w:type="dxa" w:w="110"/>
            </w:tcMar>
          </w:tcPr>
          <w:p>
            <w:pPr>
              <w:spacing w:after="0"/>
            </w:pPr>
            <w:r>
              <w:rPr>
                <w:rFonts w:ascii="Aptos" w:cs="Aptos" w:eastAsia="Aptos" w:hAnsi="Aptos"/>
                <w:sz w:val="19"/>
                <w:szCs w:val="19"/>
              </w:rPr>
              <w:t xml:space="preserve">The Poster Print Time activity in the Resource Pack. Visual Arts – memorial and monument design.</w:t>
            </w:r>
          </w:p>
        </w:tc>
        <w:tc>
          <w:tcPr>
            <w:tcW w:type="dxa" w:w="700"/>
            <w:tcMar>
              <w:top w:type="dxa" w:w="70"/>
              <w:left w:type="dxa" w:w="110"/>
              <w:bottom w:type="dxa" w:w="70"/>
              <w:right w:type="dxa" w:w="110"/>
            </w:tcMar>
          </w:tcPr>
          <w:p>
            <w:pPr>
              <w:spacing w:after="0"/>
            </w:pPr>
            <w:r>
              <w:rPr>
                <w:rFonts w:ascii="Aptos" w:cs="Aptos" w:eastAsia="Aptos" w:hAnsi="Aptos"/>
                <w:sz w:val="19"/>
                <w:szCs w:val="19"/>
              </w:rPr>
              <w:t xml:space="preserve"/>
            </w:r>
          </w:p>
        </w:tc>
      </w:tr>
    </w:tbl>
    <w:p>
      <w:pPr>
        <w:pBdr>
          <w:bottom w:val="single" w:color="999999" w:sz="4" w:space="6"/>
        </w:pBdr>
        <w:spacing w:after="110" w:before="320"/>
      </w:pPr>
      <w:r>
        <w:rPr>
          <w:rFonts w:ascii="Aptos" w:cs="Aptos" w:eastAsia="Aptos" w:hAnsi="Aptos"/>
          <w:b/>
          <w:bCs/>
          <w:sz w:val="23"/>
          <w:szCs w:val="23"/>
        </w:rPr>
        <w:t xml:space="preserve">ANIMAL SOS – THE AXOLOTL (page 20)</w:t>
      </w:r>
    </w:p>
    <w:tbl>
      <w:tblPr>
        <w:tblW w:type="dxa" w:w="8600"/>
        <w:tblBorders>
          <w:top w:val="single" w:color="000000" w:sz="4"/>
          <w:left w:val="single" w:color="000000" w:sz="4"/>
          <w:bottom w:val="single" w:color="000000" w:sz="4"/>
          <w:right w:val="single" w:color="000000" w:sz="4"/>
          <w:insideH w:val="single" w:color="000000" w:sz="4"/>
          <w:insideV w:val="single" w:color="000000" w:sz="4"/>
        </w:tblBorders>
      </w:tblPr>
      <w:tblGrid>
        <w:gridCol w:w="2200"/>
        <w:gridCol w:w="5700"/>
        <w:gridCol w:w="700"/>
      </w:tblGrid>
      <w:tr>
        <w:tc>
          <w:tcPr>
            <w:tcW w:type="dxa" w:w="2200"/>
            <w:tcMar>
              <w:top w:type="dxa" w:w="70"/>
              <w:left w:type="dxa" w:w="110"/>
              <w:bottom w:type="dxa" w:w="70"/>
              <w:right w:type="dxa" w:w="110"/>
            </w:tcMar>
          </w:tcPr>
          <w:p>
            <w:pPr>
              <w:spacing w:after="0"/>
            </w:pPr>
            <w:r>
              <w:rPr>
                <w:rFonts w:ascii="Aptos" w:cs="Aptos" w:eastAsia="Aptos" w:hAnsi="Aptos"/>
                <w:b/>
                <w:bCs/>
                <w:sz w:val="19"/>
                <w:szCs w:val="19"/>
              </w:rPr>
              <w:t xml:space="preserve">Curriculum area / subject</w:t>
            </w:r>
          </w:p>
        </w:tc>
        <w:tc>
          <w:tcPr>
            <w:tcW w:type="dxa" w:w="5700"/>
            <w:tcMar>
              <w:top w:type="dxa" w:w="70"/>
              <w:left w:type="dxa" w:w="110"/>
              <w:bottom w:type="dxa" w:w="70"/>
              <w:right w:type="dxa" w:w="110"/>
            </w:tcMar>
          </w:tcPr>
          <w:p>
            <w:pPr>
              <w:spacing w:after="0"/>
            </w:pPr>
            <w:r>
              <w:rPr>
                <w:rFonts w:ascii="Aptos" w:cs="Aptos" w:eastAsia="Aptos" w:hAnsi="Aptos"/>
                <w:sz w:val="19"/>
                <w:szCs w:val="19"/>
              </w:rPr>
              <w:t xml:space="preserve">STEM Education – Science; Social and Environmental Education – Geography</w:t>
            </w:r>
          </w:p>
        </w:tc>
        <w:tc>
          <w:tcPr>
            <w:tcW w:type="dxa" w:w="700"/>
            <w:tcMar>
              <w:top w:type="dxa" w:w="70"/>
              <w:left w:type="dxa" w:w="110"/>
              <w:bottom w:type="dxa" w:w="70"/>
              <w:right w:type="dxa" w:w="110"/>
            </w:tcMar>
          </w:tcPr>
          <w:p>
            <w:pPr>
              <w:spacing w:after="0"/>
            </w:pPr>
            <w:r>
              <w:rPr>
                <w:rFonts w:ascii="Aptos" w:cs="Aptos" w:eastAsia="Aptos" w:hAnsi="Aptos"/>
                <w:sz w:val="19"/>
                <w:szCs w:val="19"/>
              </w:rPr>
              <w:t xml:space="preserve"/>
            </w:r>
          </w:p>
        </w:tc>
      </w:tr>
      <w:tr>
        <w:tc>
          <w:tcPr>
            <w:tcW w:type="dxa" w:w="2200"/>
            <w:tcMar>
              <w:top w:type="dxa" w:w="70"/>
              <w:left w:type="dxa" w:w="110"/>
              <w:bottom w:type="dxa" w:w="70"/>
              <w:right w:type="dxa" w:w="110"/>
            </w:tcMar>
          </w:tcPr>
          <w:p>
            <w:pPr>
              <w:spacing w:after="0"/>
            </w:pPr>
            <w:r>
              <w:rPr>
                <w:rFonts w:ascii="Aptos" w:cs="Aptos" w:eastAsia="Aptos" w:hAnsi="Aptos"/>
                <w:b/>
                <w:bCs/>
                <w:sz w:val="19"/>
                <w:szCs w:val="19"/>
              </w:rPr>
              <w:t xml:space="preserve">Strand / Strand Unit</w:t>
            </w:r>
          </w:p>
        </w:tc>
        <w:tc>
          <w:tcPr>
            <w:tcW w:type="dxa" w:w="5700"/>
            <w:tcMar>
              <w:top w:type="dxa" w:w="70"/>
              <w:left w:type="dxa" w:w="110"/>
              <w:bottom w:type="dxa" w:w="70"/>
              <w:right w:type="dxa" w:w="110"/>
            </w:tcMar>
          </w:tcPr>
          <w:p>
            <w:pPr>
              <w:spacing w:after="0"/>
            </w:pPr>
            <w:r>
              <w:rPr>
                <w:rFonts w:ascii="Aptos" w:cs="Aptos" w:eastAsia="Aptos" w:hAnsi="Aptos"/>
                <w:sz w:val="19"/>
                <w:szCs w:val="19"/>
              </w:rPr>
              <w:t xml:space="preserve">Living things. SEE: Environment and sustainable living.</w:t>
            </w:r>
          </w:p>
        </w:tc>
        <w:tc>
          <w:tcPr>
            <w:tcW w:type="dxa" w:w="700"/>
            <w:tcMar>
              <w:top w:type="dxa" w:w="70"/>
              <w:left w:type="dxa" w:w="110"/>
              <w:bottom w:type="dxa" w:w="70"/>
              <w:right w:type="dxa" w:w="110"/>
            </w:tcMar>
          </w:tcPr>
          <w:p>
            <w:pPr>
              <w:spacing w:after="0"/>
            </w:pPr>
            <w:r>
              <w:rPr>
                <w:rFonts w:ascii="Aptos" w:cs="Aptos" w:eastAsia="Aptos" w:hAnsi="Aptos"/>
                <w:sz w:val="19"/>
                <w:szCs w:val="19"/>
              </w:rPr>
              <w:t xml:space="preserve"/>
            </w:r>
          </w:p>
        </w:tc>
      </w:tr>
      <w:tr>
        <w:tc>
          <w:tcPr>
            <w:tcW w:type="dxa" w:w="2200"/>
            <w:tcMar>
              <w:top w:type="dxa" w:w="70"/>
              <w:left w:type="dxa" w:w="110"/>
              <w:bottom w:type="dxa" w:w="70"/>
              <w:right w:type="dxa" w:w="110"/>
            </w:tcMar>
          </w:tcPr>
          <w:p>
            <w:pPr>
              <w:spacing w:after="0"/>
            </w:pPr>
            <w:r>
              <w:rPr>
                <w:rFonts w:ascii="Aptos" w:cs="Aptos" w:eastAsia="Aptos" w:hAnsi="Aptos"/>
                <w:b/>
                <w:bCs/>
                <w:sz w:val="19"/>
                <w:szCs w:val="19"/>
              </w:rPr>
              <w:t xml:space="preserve">Issue focus</w:t>
            </w:r>
          </w:p>
        </w:tc>
        <w:tc>
          <w:tcPr>
            <w:tcW w:type="dxa" w:w="5700"/>
            <w:tcMar>
              <w:top w:type="dxa" w:w="70"/>
              <w:left w:type="dxa" w:w="110"/>
              <w:bottom w:type="dxa" w:w="70"/>
              <w:right w:type="dxa" w:w="110"/>
            </w:tcMar>
          </w:tcPr>
          <w:p>
            <w:pPr>
              <w:spacing w:after="0"/>
            </w:pPr>
            <w:r>
              <w:rPr>
                <w:rFonts w:ascii="Aptos" w:cs="Aptos" w:eastAsia="Aptos" w:hAnsi="Aptos"/>
                <w:sz w:val="19"/>
                <w:szCs w:val="19"/>
              </w:rPr>
              <w:t xml:space="preserve">An amphibian that never completes metamorphosis, its feathery gills, its ability to regenerate limbs and parts of its brain, the wild population in Lake Xochimilco, and the wetland refuges built to protect it.</w:t>
            </w:r>
          </w:p>
        </w:tc>
        <w:tc>
          <w:tcPr>
            <w:tcW w:type="dxa" w:w="700"/>
            <w:tcMar>
              <w:top w:type="dxa" w:w="70"/>
              <w:left w:type="dxa" w:w="110"/>
              <w:bottom w:type="dxa" w:w="70"/>
              <w:right w:type="dxa" w:w="110"/>
            </w:tcMar>
          </w:tcPr>
          <w:p>
            <w:pPr>
              <w:spacing w:after="0"/>
            </w:pPr>
            <w:r>
              <w:rPr>
                <w:rFonts w:ascii="Aptos" w:cs="Aptos" w:eastAsia="Aptos" w:hAnsi="Aptos"/>
                <w:sz w:val="19"/>
                <w:szCs w:val="19"/>
              </w:rPr>
              <w:t xml:space="preserve"/>
            </w:r>
          </w:p>
        </w:tc>
      </w:tr>
      <w:tr>
        <w:tc>
          <w:tcPr>
            <w:tcW w:type="dxa" w:w="2200"/>
            <w:tcMar>
              <w:top w:type="dxa" w:w="70"/>
              <w:left w:type="dxa" w:w="110"/>
              <w:bottom w:type="dxa" w:w="70"/>
              <w:right w:type="dxa" w:w="110"/>
            </w:tcMar>
          </w:tcPr>
          <w:p>
            <w:pPr>
              <w:spacing w:after="0"/>
            </w:pPr>
            <w:r>
              <w:rPr>
                <w:rFonts w:ascii="Aptos" w:cs="Aptos" w:eastAsia="Aptos" w:hAnsi="Aptos"/>
                <w:b/>
                <w:bCs/>
                <w:sz w:val="19"/>
                <w:szCs w:val="19"/>
              </w:rPr>
              <w:t xml:space="preserve">Relevant Stage 4 learning outcomes</w:t>
            </w:r>
          </w:p>
        </w:tc>
        <w:tc>
          <w:tcPr>
            <w:tcW w:type="dxa" w:w="5700"/>
            <w:tcMar>
              <w:top w:type="dxa" w:w="70"/>
              <w:left w:type="dxa" w:w="110"/>
              <w:bottom w:type="dxa" w:w="70"/>
              <w:right w:type="dxa" w:w="110"/>
            </w:tcMar>
          </w:tcPr>
          <w:p>
            <w:pPr>
              <w:spacing w:after="80"/>
              <w:ind w:left="200" w:hanging="200"/>
            </w:pPr>
            <w:r>
              <w:rPr>
                <w:rFonts w:ascii="Aptos" w:cs="Aptos" w:eastAsia="Aptos" w:hAnsi="Aptos"/>
                <w:sz w:val="19"/>
                <w:szCs w:val="19"/>
              </w:rPr>
              <w:t xml:space="preserve">•  SEE Geography, Europe and the wider world: investigate examples of changes in the natural environments of Europe and the wider world caused by physical processes and human activity, such as agriculture, conservation, deforestation, overfishing, pollution, restoration, tourism, etc.</w:t>
            </w:r>
          </w:p>
          <w:p>
            <w:pPr>
              <w:spacing w:after="80"/>
              <w:ind w:left="200" w:hanging="200"/>
            </w:pPr>
            <w:r>
              <w:rPr>
                <w:rFonts w:ascii="Aptos" w:cs="Aptos" w:eastAsia="Aptos" w:hAnsi="Aptos"/>
                <w:sz w:val="19"/>
                <w:szCs w:val="19"/>
              </w:rPr>
              <w:t xml:space="preserve">•  STE Living things: demonstrate an awareness of how learning about Living things connects to the wider field of Biology and other ‘Bio’ fields. Explore and investigate how Science can serve to better understand and solve biodiversity related problems locally and/or nationally.</w:t>
            </w:r>
          </w:p>
          <w:p>
            <w:pPr>
              <w:spacing w:after="0"/>
              <w:ind w:left="200" w:hanging="200"/>
            </w:pPr>
            <w:r>
              <w:rPr>
                <w:rFonts w:ascii="Aptos" w:cs="Aptos" w:eastAsia="Aptos" w:hAnsi="Aptos"/>
                <w:sz w:val="19"/>
                <w:szCs w:val="19"/>
              </w:rPr>
              <w:t xml:space="preserve">•  Reading, Vocabulary: acquire deep and broad vocabulary knowledge to facilitate independent comprehension of texts, to include subject-specific texts.</w:t>
            </w:r>
          </w:p>
        </w:tc>
        <w:tc>
          <w:tcPr>
            <w:tcW w:type="dxa" w:w="700"/>
            <w:tcMar>
              <w:top w:type="dxa" w:w="70"/>
              <w:left w:type="dxa" w:w="110"/>
              <w:bottom w:type="dxa" w:w="70"/>
              <w:right w:type="dxa" w:w="110"/>
            </w:tcMar>
          </w:tcPr>
          <w:p>
            <w:pPr>
              <w:spacing w:after="0"/>
            </w:pPr>
            <w:r>
              <w:rPr>
                <w:rFonts w:ascii="Aptos" w:cs="Aptos" w:eastAsia="Aptos" w:hAnsi="Aptos"/>
                <w:sz w:val="19"/>
                <w:szCs w:val="19"/>
              </w:rPr>
              <w:t xml:space="preserve"/>
            </w:r>
          </w:p>
        </w:tc>
      </w:tr>
      <w:tr>
        <w:tc>
          <w:tcPr>
            <w:tcW w:type="dxa" w:w="2200"/>
            <w:tcMar>
              <w:top w:type="dxa" w:w="70"/>
              <w:left w:type="dxa" w:w="110"/>
              <w:bottom w:type="dxa" w:w="70"/>
              <w:right w:type="dxa" w:w="110"/>
            </w:tcMar>
          </w:tcPr>
          <w:p>
            <w:pPr>
              <w:spacing w:after="0"/>
            </w:pPr>
            <w:r>
              <w:rPr>
                <w:rFonts w:ascii="Aptos" w:cs="Aptos" w:eastAsia="Aptos" w:hAnsi="Aptos"/>
                <w:b/>
                <w:bCs/>
                <w:sz w:val="19"/>
                <w:szCs w:val="19"/>
              </w:rPr>
              <w:t xml:space="preserve">Integration</w:t>
            </w:r>
          </w:p>
        </w:tc>
        <w:tc>
          <w:tcPr>
            <w:tcW w:type="dxa" w:w="5700"/>
            <w:tcMar>
              <w:top w:type="dxa" w:w="70"/>
              <w:left w:type="dxa" w:w="110"/>
              <w:bottom w:type="dxa" w:w="70"/>
              <w:right w:type="dxa" w:w="110"/>
            </w:tcMar>
          </w:tcPr>
          <w:p>
            <w:pPr>
              <w:spacing w:after="0"/>
            </w:pPr>
            <w:r>
              <w:rPr>
                <w:rFonts w:ascii="Aptos" w:cs="Aptos" w:eastAsia="Aptos" w:hAnsi="Aptos"/>
                <w:sz w:val="19"/>
                <w:szCs w:val="19"/>
              </w:rPr>
              <w:t xml:space="preserve">The Save the Axolotl cloze passage in the Resource Pack. SEE – Mexico, and Aztec language and culture.</w:t>
            </w:r>
          </w:p>
        </w:tc>
        <w:tc>
          <w:tcPr>
            <w:tcW w:type="dxa" w:w="700"/>
            <w:tcMar>
              <w:top w:type="dxa" w:w="70"/>
              <w:left w:type="dxa" w:w="110"/>
              <w:bottom w:type="dxa" w:w="70"/>
              <w:right w:type="dxa" w:w="110"/>
            </w:tcMar>
          </w:tcPr>
          <w:p>
            <w:pPr>
              <w:spacing w:after="0"/>
            </w:pPr>
            <w:r>
              <w:rPr>
                <w:rFonts w:ascii="Aptos" w:cs="Aptos" w:eastAsia="Aptos" w:hAnsi="Aptos"/>
                <w:sz w:val="19"/>
                <w:szCs w:val="19"/>
              </w:rPr>
              <w:t xml:space="preserve"/>
            </w:r>
          </w:p>
        </w:tc>
      </w:tr>
    </w:tbl>
    <w:p>
      <w:pPr>
        <w:pBdr>
          <w:bottom w:val="single" w:color="999999" w:sz="4" w:space="6"/>
        </w:pBdr>
        <w:spacing w:after="110" w:before="320"/>
      </w:pPr>
      <w:r>
        <w:rPr>
          <w:rFonts w:ascii="Aptos" w:cs="Aptos" w:eastAsia="Aptos" w:hAnsi="Aptos"/>
          <w:b/>
          <w:bCs/>
          <w:sz w:val="23"/>
          <w:szCs w:val="23"/>
        </w:rPr>
        <w:t xml:space="preserve">PLANET MATHS (page 21)</w:t>
      </w:r>
    </w:p>
    <w:tbl>
      <w:tblPr>
        <w:tblW w:type="dxa" w:w="8600"/>
        <w:tblBorders>
          <w:top w:val="single" w:color="000000" w:sz="4"/>
          <w:left w:val="single" w:color="000000" w:sz="4"/>
          <w:bottom w:val="single" w:color="000000" w:sz="4"/>
          <w:right w:val="single" w:color="000000" w:sz="4"/>
          <w:insideH w:val="single" w:color="000000" w:sz="4"/>
          <w:insideV w:val="single" w:color="000000" w:sz="4"/>
        </w:tblBorders>
      </w:tblPr>
      <w:tblGrid>
        <w:gridCol w:w="2200"/>
        <w:gridCol w:w="5700"/>
        <w:gridCol w:w="700"/>
      </w:tblGrid>
      <w:tr>
        <w:tc>
          <w:tcPr>
            <w:tcW w:type="dxa" w:w="2200"/>
            <w:tcMar>
              <w:top w:type="dxa" w:w="70"/>
              <w:left w:type="dxa" w:w="110"/>
              <w:bottom w:type="dxa" w:w="70"/>
              <w:right w:type="dxa" w:w="110"/>
            </w:tcMar>
          </w:tcPr>
          <w:p>
            <w:pPr>
              <w:spacing w:after="0"/>
            </w:pPr>
            <w:r>
              <w:rPr>
                <w:rFonts w:ascii="Aptos" w:cs="Aptos" w:eastAsia="Aptos" w:hAnsi="Aptos"/>
                <w:b/>
                <w:bCs/>
                <w:sz w:val="19"/>
                <w:szCs w:val="19"/>
              </w:rPr>
              <w:t xml:space="preserve">Curriculum area / subject</w:t>
            </w:r>
          </w:p>
        </w:tc>
        <w:tc>
          <w:tcPr>
            <w:tcW w:type="dxa" w:w="5700"/>
            <w:tcMar>
              <w:top w:type="dxa" w:w="70"/>
              <w:left w:type="dxa" w:w="110"/>
              <w:bottom w:type="dxa" w:w="70"/>
              <w:right w:type="dxa" w:w="110"/>
            </w:tcMar>
          </w:tcPr>
          <w:p>
            <w:pPr>
              <w:spacing w:after="0"/>
            </w:pPr>
            <w:r>
              <w:rPr>
                <w:rFonts w:ascii="Aptos" w:cs="Aptos" w:eastAsia="Aptos" w:hAnsi="Aptos"/>
                <w:sz w:val="19"/>
                <w:szCs w:val="19"/>
              </w:rPr>
              <w:t xml:space="preserve">STEM Education – Mathematics</w:t>
            </w:r>
          </w:p>
        </w:tc>
        <w:tc>
          <w:tcPr>
            <w:tcW w:type="dxa" w:w="700"/>
            <w:tcMar>
              <w:top w:type="dxa" w:w="70"/>
              <w:left w:type="dxa" w:w="110"/>
              <w:bottom w:type="dxa" w:w="70"/>
              <w:right w:type="dxa" w:w="110"/>
            </w:tcMar>
          </w:tcPr>
          <w:p>
            <w:pPr>
              <w:spacing w:after="0"/>
            </w:pPr>
            <w:r>
              <w:rPr>
                <w:rFonts w:ascii="Aptos" w:cs="Aptos" w:eastAsia="Aptos" w:hAnsi="Aptos"/>
                <w:sz w:val="19"/>
                <w:szCs w:val="19"/>
              </w:rPr>
              <w:t xml:space="preserve"/>
            </w:r>
          </w:p>
        </w:tc>
      </w:tr>
      <w:tr>
        <w:tc>
          <w:tcPr>
            <w:tcW w:type="dxa" w:w="2200"/>
            <w:tcMar>
              <w:top w:type="dxa" w:w="70"/>
              <w:left w:type="dxa" w:w="110"/>
              <w:bottom w:type="dxa" w:w="70"/>
              <w:right w:type="dxa" w:w="110"/>
            </w:tcMar>
          </w:tcPr>
          <w:p>
            <w:pPr>
              <w:spacing w:after="0"/>
            </w:pPr>
            <w:r>
              <w:rPr>
                <w:rFonts w:ascii="Aptos" w:cs="Aptos" w:eastAsia="Aptos" w:hAnsi="Aptos"/>
                <w:b/>
                <w:bCs/>
                <w:sz w:val="19"/>
                <w:szCs w:val="19"/>
              </w:rPr>
              <w:t xml:space="preserve">Strand / Strand Unit</w:t>
            </w:r>
          </w:p>
        </w:tc>
        <w:tc>
          <w:tcPr>
            <w:tcW w:type="dxa" w:w="5700"/>
            <w:tcMar>
              <w:top w:type="dxa" w:w="70"/>
              <w:left w:type="dxa" w:w="110"/>
              <w:bottom w:type="dxa" w:w="70"/>
              <w:right w:type="dxa" w:w="110"/>
            </w:tcMar>
          </w:tcPr>
          <w:p>
            <w:pPr>
              <w:spacing w:after="0"/>
            </w:pPr>
            <w:r>
              <w:rPr>
                <w:rFonts w:ascii="Aptos" w:cs="Aptos" w:eastAsia="Aptos" w:hAnsi="Aptos"/>
                <w:sz w:val="19"/>
                <w:szCs w:val="19"/>
              </w:rPr>
              <w:t xml:space="preserve">Number / Sets and operations; Measures / Time; Algebra.</w:t>
            </w:r>
          </w:p>
        </w:tc>
        <w:tc>
          <w:tcPr>
            <w:tcW w:type="dxa" w:w="700"/>
            <w:tcMar>
              <w:top w:type="dxa" w:w="70"/>
              <w:left w:type="dxa" w:w="110"/>
              <w:bottom w:type="dxa" w:w="70"/>
              <w:right w:type="dxa" w:w="110"/>
            </w:tcMar>
          </w:tcPr>
          <w:p>
            <w:pPr>
              <w:spacing w:after="0"/>
            </w:pPr>
            <w:r>
              <w:rPr>
                <w:rFonts w:ascii="Aptos" w:cs="Aptos" w:eastAsia="Aptos" w:hAnsi="Aptos"/>
                <w:sz w:val="19"/>
                <w:szCs w:val="19"/>
              </w:rPr>
              <w:t xml:space="preserve"/>
            </w:r>
          </w:p>
        </w:tc>
      </w:tr>
      <w:tr>
        <w:tc>
          <w:tcPr>
            <w:tcW w:type="dxa" w:w="2200"/>
            <w:tcMar>
              <w:top w:type="dxa" w:w="70"/>
              <w:left w:type="dxa" w:w="110"/>
              <w:bottom w:type="dxa" w:w="70"/>
              <w:right w:type="dxa" w:w="110"/>
            </w:tcMar>
          </w:tcPr>
          <w:p>
            <w:pPr>
              <w:spacing w:after="0"/>
            </w:pPr>
            <w:r>
              <w:rPr>
                <w:rFonts w:ascii="Aptos" w:cs="Aptos" w:eastAsia="Aptos" w:hAnsi="Aptos"/>
                <w:b/>
                <w:bCs/>
                <w:sz w:val="19"/>
                <w:szCs w:val="19"/>
              </w:rPr>
              <w:t xml:space="preserve">Issue focus</w:t>
            </w:r>
          </w:p>
        </w:tc>
        <w:tc>
          <w:tcPr>
            <w:tcW w:type="dxa" w:w="5700"/>
            <w:tcMar>
              <w:top w:type="dxa" w:w="70"/>
              <w:left w:type="dxa" w:w="110"/>
              <w:bottom w:type="dxa" w:w="70"/>
              <w:right w:type="dxa" w:w="110"/>
            </w:tcMar>
          </w:tcPr>
          <w:p>
            <w:pPr>
              <w:spacing w:after="0"/>
            </w:pPr>
            <w:r>
              <w:rPr>
                <w:rFonts w:ascii="Aptos" w:cs="Aptos" w:eastAsia="Aptos" w:hAnsi="Aptos"/>
                <w:sz w:val="19"/>
                <w:szCs w:val="19"/>
              </w:rPr>
              <w:t xml:space="preserve">Crack the Quote, and Maths Story #155, Trick-or-Treat, which covers elapsed time, decimals, fractions, ratio, percentages, averages and money.</w:t>
            </w:r>
          </w:p>
        </w:tc>
        <w:tc>
          <w:tcPr>
            <w:tcW w:type="dxa" w:w="700"/>
            <w:tcMar>
              <w:top w:type="dxa" w:w="70"/>
              <w:left w:type="dxa" w:w="110"/>
              <w:bottom w:type="dxa" w:w="70"/>
              <w:right w:type="dxa" w:w="110"/>
            </w:tcMar>
          </w:tcPr>
          <w:p>
            <w:pPr>
              <w:spacing w:after="0"/>
            </w:pPr>
            <w:r>
              <w:rPr>
                <w:rFonts w:ascii="Aptos" w:cs="Aptos" w:eastAsia="Aptos" w:hAnsi="Aptos"/>
                <w:sz w:val="19"/>
                <w:szCs w:val="19"/>
              </w:rPr>
              <w:t xml:space="preserve"/>
            </w:r>
          </w:p>
        </w:tc>
      </w:tr>
      <w:tr>
        <w:tc>
          <w:tcPr>
            <w:tcW w:type="dxa" w:w="2200"/>
            <w:tcMar>
              <w:top w:type="dxa" w:w="70"/>
              <w:left w:type="dxa" w:w="110"/>
              <w:bottom w:type="dxa" w:w="70"/>
              <w:right w:type="dxa" w:w="110"/>
            </w:tcMar>
          </w:tcPr>
          <w:p>
            <w:pPr>
              <w:spacing w:after="0"/>
            </w:pPr>
            <w:r>
              <w:rPr>
                <w:rFonts w:ascii="Aptos" w:cs="Aptos" w:eastAsia="Aptos" w:hAnsi="Aptos"/>
                <w:b/>
                <w:bCs/>
                <w:sz w:val="19"/>
                <w:szCs w:val="19"/>
              </w:rPr>
              <w:t xml:space="preserve">Relevant Stage 4 learning outcomes</w:t>
            </w:r>
          </w:p>
        </w:tc>
        <w:tc>
          <w:tcPr>
            <w:tcW w:type="dxa" w:w="5700"/>
            <w:tcMar>
              <w:top w:type="dxa" w:w="70"/>
              <w:left w:type="dxa" w:w="110"/>
              <w:bottom w:type="dxa" w:w="70"/>
              <w:right w:type="dxa" w:w="110"/>
            </w:tcMar>
          </w:tcPr>
          <w:p>
            <w:pPr>
              <w:spacing w:after="80"/>
              <w:ind w:left="200" w:hanging="200"/>
            </w:pPr>
            <w:r>
              <w:rPr>
                <w:rFonts w:ascii="Aptos" w:cs="Aptos" w:eastAsia="Aptos" w:hAnsi="Aptos"/>
                <w:sz w:val="19"/>
                <w:szCs w:val="19"/>
              </w:rPr>
              <w:t xml:space="preserve">•  Mathematics, Measures: solve and pose practical tasks and problems involving the interpretation and calculation of time.</w:t>
            </w:r>
          </w:p>
          <w:p>
            <w:pPr>
              <w:spacing w:after="80"/>
              <w:ind w:left="200" w:hanging="200"/>
            </w:pPr>
            <w:r>
              <w:rPr>
                <w:rFonts w:ascii="Aptos" w:cs="Aptos" w:eastAsia="Aptos" w:hAnsi="Aptos"/>
                <w:sz w:val="19"/>
                <w:szCs w:val="19"/>
              </w:rPr>
              <w:t xml:space="preserve">•  Mathematics, Number: explore (model, compare and convert) the relationships between fractions, decimals and percentages; investigate proportionality and ratios of quantities (sets).</w:t>
            </w:r>
          </w:p>
          <w:p>
            <w:pPr>
              <w:spacing w:after="0"/>
              <w:ind w:left="200" w:hanging="200"/>
            </w:pPr>
            <w:r>
              <w:rPr>
                <w:rFonts w:ascii="Aptos" w:cs="Aptos" w:eastAsia="Aptos" w:hAnsi="Aptos"/>
                <w:sz w:val="19"/>
                <w:szCs w:val="19"/>
              </w:rPr>
              <w:t xml:space="preserve">•  Mathematics, Measures: solve and pose practical tasks to investigate and make informed judgements about transactions and financial plans.</w:t>
            </w:r>
          </w:p>
        </w:tc>
        <w:tc>
          <w:tcPr>
            <w:tcW w:type="dxa" w:w="700"/>
            <w:tcMar>
              <w:top w:type="dxa" w:w="70"/>
              <w:left w:type="dxa" w:w="110"/>
              <w:bottom w:type="dxa" w:w="70"/>
              <w:right w:type="dxa" w:w="110"/>
            </w:tcMar>
          </w:tcPr>
          <w:p>
            <w:pPr>
              <w:spacing w:after="0"/>
            </w:pPr>
            <w:r>
              <w:rPr>
                <w:rFonts w:ascii="Aptos" w:cs="Aptos" w:eastAsia="Aptos" w:hAnsi="Aptos"/>
                <w:sz w:val="19"/>
                <w:szCs w:val="19"/>
              </w:rPr>
              <w:t xml:space="preserve"/>
            </w:r>
          </w:p>
        </w:tc>
      </w:tr>
      <w:tr>
        <w:tc>
          <w:tcPr>
            <w:tcW w:type="dxa" w:w="2200"/>
            <w:tcMar>
              <w:top w:type="dxa" w:w="70"/>
              <w:left w:type="dxa" w:w="110"/>
              <w:bottom w:type="dxa" w:w="70"/>
              <w:right w:type="dxa" w:w="110"/>
            </w:tcMar>
          </w:tcPr>
          <w:p>
            <w:pPr>
              <w:spacing w:after="0"/>
            </w:pPr>
            <w:r>
              <w:rPr>
                <w:rFonts w:ascii="Aptos" w:cs="Aptos" w:eastAsia="Aptos" w:hAnsi="Aptos"/>
                <w:b/>
                <w:bCs/>
                <w:sz w:val="19"/>
                <w:szCs w:val="19"/>
              </w:rPr>
              <w:t xml:space="preserve">Integration</w:t>
            </w:r>
          </w:p>
        </w:tc>
        <w:tc>
          <w:tcPr>
            <w:tcW w:type="dxa" w:w="5700"/>
            <w:tcMar>
              <w:top w:type="dxa" w:w="70"/>
              <w:left w:type="dxa" w:w="110"/>
              <w:bottom w:type="dxa" w:w="70"/>
              <w:right w:type="dxa" w:w="110"/>
            </w:tcMar>
          </w:tcPr>
          <w:p>
            <w:pPr>
              <w:spacing w:after="0"/>
            </w:pPr>
            <w:r>
              <w:rPr>
                <w:rFonts w:ascii="Aptos" w:cs="Aptos" w:eastAsia="Aptos" w:hAnsi="Aptos"/>
                <w:sz w:val="19"/>
                <w:szCs w:val="19"/>
              </w:rPr>
              <w:t xml:space="preserve">The twelve Maths Story questions in the Resource Pack. Language – reading a word problem closely.</w:t>
            </w:r>
          </w:p>
        </w:tc>
        <w:tc>
          <w:tcPr>
            <w:tcW w:type="dxa" w:w="700"/>
            <w:tcMar>
              <w:top w:type="dxa" w:w="70"/>
              <w:left w:type="dxa" w:w="110"/>
              <w:bottom w:type="dxa" w:w="70"/>
              <w:right w:type="dxa" w:w="110"/>
            </w:tcMar>
          </w:tcPr>
          <w:p>
            <w:pPr>
              <w:spacing w:after="0"/>
            </w:pPr>
            <w:r>
              <w:rPr>
                <w:rFonts w:ascii="Aptos" w:cs="Aptos" w:eastAsia="Aptos" w:hAnsi="Aptos"/>
                <w:sz w:val="19"/>
                <w:szCs w:val="19"/>
              </w:rPr>
              <w:t xml:space="preserve"/>
            </w:r>
          </w:p>
        </w:tc>
      </w:tr>
    </w:tbl>
    <w:p>
      <w:pPr>
        <w:pBdr>
          <w:bottom w:val="single" w:color="999999" w:sz="4" w:space="6"/>
        </w:pBdr>
        <w:spacing w:after="110" w:before="320"/>
      </w:pPr>
      <w:r>
        <w:rPr>
          <w:rFonts w:ascii="Aptos" w:cs="Aptos" w:eastAsia="Aptos" w:hAnsi="Aptos"/>
          <w:b/>
          <w:bCs/>
          <w:sz w:val="23"/>
          <w:szCs w:val="23"/>
        </w:rPr>
        <w:t xml:space="preserve">PLANET STEM (page 22)</w:t>
      </w:r>
    </w:p>
    <w:tbl>
      <w:tblPr>
        <w:tblW w:type="dxa" w:w="8600"/>
        <w:tblBorders>
          <w:top w:val="single" w:color="000000" w:sz="4"/>
          <w:left w:val="single" w:color="000000" w:sz="4"/>
          <w:bottom w:val="single" w:color="000000" w:sz="4"/>
          <w:right w:val="single" w:color="000000" w:sz="4"/>
          <w:insideH w:val="single" w:color="000000" w:sz="4"/>
          <w:insideV w:val="single" w:color="000000" w:sz="4"/>
        </w:tblBorders>
      </w:tblPr>
      <w:tblGrid>
        <w:gridCol w:w="2200"/>
        <w:gridCol w:w="5700"/>
        <w:gridCol w:w="700"/>
      </w:tblGrid>
      <w:tr>
        <w:tc>
          <w:tcPr>
            <w:tcW w:type="dxa" w:w="2200"/>
            <w:tcMar>
              <w:top w:type="dxa" w:w="70"/>
              <w:left w:type="dxa" w:w="110"/>
              <w:bottom w:type="dxa" w:w="70"/>
              <w:right w:type="dxa" w:w="110"/>
            </w:tcMar>
          </w:tcPr>
          <w:p>
            <w:pPr>
              <w:spacing w:after="0"/>
            </w:pPr>
            <w:r>
              <w:rPr>
                <w:rFonts w:ascii="Aptos" w:cs="Aptos" w:eastAsia="Aptos" w:hAnsi="Aptos"/>
                <w:b/>
                <w:bCs/>
                <w:sz w:val="19"/>
                <w:szCs w:val="19"/>
              </w:rPr>
              <w:t xml:space="preserve">Curriculum area / subject</w:t>
            </w:r>
          </w:p>
        </w:tc>
        <w:tc>
          <w:tcPr>
            <w:tcW w:type="dxa" w:w="5700"/>
            <w:tcMar>
              <w:top w:type="dxa" w:w="70"/>
              <w:left w:type="dxa" w:w="110"/>
              <w:bottom w:type="dxa" w:w="70"/>
              <w:right w:type="dxa" w:w="110"/>
            </w:tcMar>
          </w:tcPr>
          <w:p>
            <w:pPr>
              <w:spacing w:after="0"/>
            </w:pPr>
            <w:r>
              <w:rPr>
                <w:rFonts w:ascii="Aptos" w:cs="Aptos" w:eastAsia="Aptos" w:hAnsi="Aptos"/>
                <w:sz w:val="19"/>
                <w:szCs w:val="19"/>
              </w:rPr>
              <w:t xml:space="preserve">STEM Education – Science, Technology and Engineering</w:t>
            </w:r>
          </w:p>
        </w:tc>
        <w:tc>
          <w:tcPr>
            <w:tcW w:type="dxa" w:w="700"/>
            <w:tcMar>
              <w:top w:type="dxa" w:w="70"/>
              <w:left w:type="dxa" w:w="110"/>
              <w:bottom w:type="dxa" w:w="70"/>
              <w:right w:type="dxa" w:w="110"/>
            </w:tcMar>
          </w:tcPr>
          <w:p>
            <w:pPr>
              <w:spacing w:after="0"/>
            </w:pPr>
            <w:r>
              <w:rPr>
                <w:rFonts w:ascii="Aptos" w:cs="Aptos" w:eastAsia="Aptos" w:hAnsi="Aptos"/>
                <w:sz w:val="19"/>
                <w:szCs w:val="19"/>
              </w:rPr>
              <w:t xml:space="preserve"/>
            </w:r>
          </w:p>
        </w:tc>
      </w:tr>
      <w:tr>
        <w:tc>
          <w:tcPr>
            <w:tcW w:type="dxa" w:w="2200"/>
            <w:tcMar>
              <w:top w:type="dxa" w:w="70"/>
              <w:left w:type="dxa" w:w="110"/>
              <w:bottom w:type="dxa" w:w="70"/>
              <w:right w:type="dxa" w:w="110"/>
            </w:tcMar>
          </w:tcPr>
          <w:p>
            <w:pPr>
              <w:spacing w:after="0"/>
            </w:pPr>
            <w:r>
              <w:rPr>
                <w:rFonts w:ascii="Aptos" w:cs="Aptos" w:eastAsia="Aptos" w:hAnsi="Aptos"/>
                <w:b/>
                <w:bCs/>
                <w:sz w:val="19"/>
                <w:szCs w:val="19"/>
              </w:rPr>
              <w:t xml:space="preserve">Strand / Strand Unit</w:t>
            </w:r>
          </w:p>
        </w:tc>
        <w:tc>
          <w:tcPr>
            <w:tcW w:type="dxa" w:w="5700"/>
            <w:tcMar>
              <w:top w:type="dxa" w:w="70"/>
              <w:left w:type="dxa" w:w="110"/>
              <w:bottom w:type="dxa" w:w="70"/>
              <w:right w:type="dxa" w:w="110"/>
            </w:tcMar>
          </w:tcPr>
          <w:p>
            <w:pPr>
              <w:spacing w:after="0"/>
            </w:pPr>
            <w:r>
              <w:rPr>
                <w:rFonts w:ascii="Aptos" w:cs="Aptos" w:eastAsia="Aptos" w:hAnsi="Aptos"/>
                <w:sz w:val="19"/>
                <w:szCs w:val="19"/>
              </w:rPr>
              <w:t xml:space="preserve">Living things; Technology; Engineering; Nature of STEM.</w:t>
            </w:r>
          </w:p>
        </w:tc>
        <w:tc>
          <w:tcPr>
            <w:tcW w:type="dxa" w:w="700"/>
            <w:tcMar>
              <w:top w:type="dxa" w:w="70"/>
              <w:left w:type="dxa" w:w="110"/>
              <w:bottom w:type="dxa" w:w="70"/>
              <w:right w:type="dxa" w:w="110"/>
            </w:tcMar>
          </w:tcPr>
          <w:p>
            <w:pPr>
              <w:spacing w:after="0"/>
            </w:pPr>
            <w:r>
              <w:rPr>
                <w:rFonts w:ascii="Aptos" w:cs="Aptos" w:eastAsia="Aptos" w:hAnsi="Aptos"/>
                <w:sz w:val="19"/>
                <w:szCs w:val="19"/>
              </w:rPr>
              <w:t xml:space="preserve"/>
            </w:r>
          </w:p>
        </w:tc>
      </w:tr>
      <w:tr>
        <w:tc>
          <w:tcPr>
            <w:tcW w:type="dxa" w:w="2200"/>
            <w:tcMar>
              <w:top w:type="dxa" w:w="70"/>
              <w:left w:type="dxa" w:w="110"/>
              <w:bottom w:type="dxa" w:w="70"/>
              <w:right w:type="dxa" w:w="110"/>
            </w:tcMar>
          </w:tcPr>
          <w:p>
            <w:pPr>
              <w:spacing w:after="0"/>
            </w:pPr>
            <w:r>
              <w:rPr>
                <w:rFonts w:ascii="Aptos" w:cs="Aptos" w:eastAsia="Aptos" w:hAnsi="Aptos"/>
                <w:b/>
                <w:bCs/>
                <w:sz w:val="19"/>
                <w:szCs w:val="19"/>
              </w:rPr>
              <w:t xml:space="preserve">Issue focus</w:t>
            </w:r>
          </w:p>
        </w:tc>
        <w:tc>
          <w:tcPr>
            <w:tcW w:type="dxa" w:w="5700"/>
            <w:tcMar>
              <w:top w:type="dxa" w:w="70"/>
              <w:left w:type="dxa" w:w="110"/>
              <w:bottom w:type="dxa" w:w="70"/>
              <w:right w:type="dxa" w:w="110"/>
            </w:tcMar>
          </w:tcPr>
          <w:p>
            <w:pPr>
              <w:spacing w:after="0"/>
            </w:pPr>
            <w:r>
              <w:rPr>
                <w:rFonts w:ascii="Aptos" w:cs="Aptos" w:eastAsia="Aptos" w:hAnsi="Aptos"/>
                <w:sz w:val="19"/>
                <w:szCs w:val="19"/>
              </w:rPr>
              <w:t xml:space="preserve">Bacteria living in fog, the carnivorous plant Saxifraga candelabrum that Darwin suspected 150 years ago, and Stella Juva, a solar-powered ambulance being tested in Kenya.</w:t>
            </w:r>
          </w:p>
        </w:tc>
        <w:tc>
          <w:tcPr>
            <w:tcW w:type="dxa" w:w="700"/>
            <w:tcMar>
              <w:top w:type="dxa" w:w="70"/>
              <w:left w:type="dxa" w:w="110"/>
              <w:bottom w:type="dxa" w:w="70"/>
              <w:right w:type="dxa" w:w="110"/>
            </w:tcMar>
          </w:tcPr>
          <w:p>
            <w:pPr>
              <w:spacing w:after="0"/>
            </w:pPr>
            <w:r>
              <w:rPr>
                <w:rFonts w:ascii="Aptos" w:cs="Aptos" w:eastAsia="Aptos" w:hAnsi="Aptos"/>
                <w:sz w:val="19"/>
                <w:szCs w:val="19"/>
              </w:rPr>
              <w:t xml:space="preserve"/>
            </w:r>
          </w:p>
        </w:tc>
      </w:tr>
      <w:tr>
        <w:tc>
          <w:tcPr>
            <w:tcW w:type="dxa" w:w="2200"/>
            <w:tcMar>
              <w:top w:type="dxa" w:w="70"/>
              <w:left w:type="dxa" w:w="110"/>
              <w:bottom w:type="dxa" w:w="70"/>
              <w:right w:type="dxa" w:w="110"/>
            </w:tcMar>
          </w:tcPr>
          <w:p>
            <w:pPr>
              <w:spacing w:after="0"/>
            </w:pPr>
            <w:r>
              <w:rPr>
                <w:rFonts w:ascii="Aptos" w:cs="Aptos" w:eastAsia="Aptos" w:hAnsi="Aptos"/>
                <w:b/>
                <w:bCs/>
                <w:sz w:val="19"/>
                <w:szCs w:val="19"/>
              </w:rPr>
              <w:t xml:space="preserve">Relevant Stage 4 learning outcomes</w:t>
            </w:r>
          </w:p>
        </w:tc>
        <w:tc>
          <w:tcPr>
            <w:tcW w:type="dxa" w:w="5700"/>
            <w:tcMar>
              <w:top w:type="dxa" w:w="70"/>
              <w:left w:type="dxa" w:w="110"/>
              <w:bottom w:type="dxa" w:w="70"/>
              <w:right w:type="dxa" w:w="110"/>
            </w:tcMar>
          </w:tcPr>
          <w:p>
            <w:pPr>
              <w:spacing w:after="80"/>
              <w:ind w:left="200" w:hanging="200"/>
            </w:pPr>
            <w:r>
              <w:rPr>
                <w:rFonts w:ascii="Aptos" w:cs="Aptos" w:eastAsia="Aptos" w:hAnsi="Aptos"/>
                <w:sz w:val="19"/>
                <w:szCs w:val="19"/>
              </w:rPr>
              <w:t xml:space="preserve">•  STE Living things: demonstrate an awareness of how learning about Living things connects to the wider field of Biology and other ‘Bio’ fields. Explore and investigate how Science can serve to better understand and solve biodiversity related problems locally and/or nationally.</w:t>
            </w:r>
          </w:p>
          <w:p>
            <w:pPr>
              <w:spacing w:after="80"/>
              <w:ind w:left="200" w:hanging="200"/>
            </w:pPr>
            <w:r>
              <w:rPr>
                <w:rFonts w:ascii="Aptos" w:cs="Aptos" w:eastAsia="Aptos" w:hAnsi="Aptos"/>
                <w:sz w:val="19"/>
                <w:szCs w:val="19"/>
              </w:rPr>
              <w:t xml:space="preserve">•  STE Engineering: working collaboratively, consider user needs when defining and refining design problems and solutions. Use sketching and traditional or digital tools to design plans. Make and test at least one prototype and evaluate the design solution. Draw conclusions and present an analysis of the iterative design process.</w:t>
            </w:r>
          </w:p>
          <w:p>
            <w:pPr>
              <w:spacing w:after="0"/>
              <w:ind w:left="200" w:hanging="200"/>
            </w:pPr>
            <w:r>
              <w:rPr>
                <w:rFonts w:ascii="Aptos" w:cs="Aptos" w:eastAsia="Aptos" w:hAnsi="Aptos"/>
                <w:sz w:val="19"/>
                <w:szCs w:val="19"/>
              </w:rPr>
              <w:t xml:space="preserve">•  STE Nature of STEM: identify and appreciate the key features of Nature of Science, Nature of Technology and Nature of Engineering. Explore and discuss topical STEM issues in Ireland and in the wider world.</w:t>
            </w:r>
          </w:p>
        </w:tc>
        <w:tc>
          <w:tcPr>
            <w:tcW w:type="dxa" w:w="700"/>
            <w:tcMar>
              <w:top w:type="dxa" w:w="70"/>
              <w:left w:type="dxa" w:w="110"/>
              <w:bottom w:type="dxa" w:w="70"/>
              <w:right w:type="dxa" w:w="110"/>
            </w:tcMar>
          </w:tcPr>
          <w:p>
            <w:pPr>
              <w:spacing w:after="0"/>
            </w:pPr>
            <w:r>
              <w:rPr>
                <w:rFonts w:ascii="Aptos" w:cs="Aptos" w:eastAsia="Aptos" w:hAnsi="Aptos"/>
                <w:sz w:val="19"/>
                <w:szCs w:val="19"/>
              </w:rPr>
              <w:t xml:space="preserve"/>
            </w:r>
          </w:p>
        </w:tc>
      </w:tr>
      <w:tr>
        <w:tc>
          <w:tcPr>
            <w:tcW w:type="dxa" w:w="2200"/>
            <w:tcMar>
              <w:top w:type="dxa" w:w="70"/>
              <w:left w:type="dxa" w:w="110"/>
              <w:bottom w:type="dxa" w:w="70"/>
              <w:right w:type="dxa" w:w="110"/>
            </w:tcMar>
          </w:tcPr>
          <w:p>
            <w:pPr>
              <w:spacing w:after="0"/>
            </w:pPr>
            <w:r>
              <w:rPr>
                <w:rFonts w:ascii="Aptos" w:cs="Aptos" w:eastAsia="Aptos" w:hAnsi="Aptos"/>
                <w:b/>
                <w:bCs/>
                <w:sz w:val="19"/>
                <w:szCs w:val="19"/>
              </w:rPr>
              <w:t xml:space="preserve">Integration</w:t>
            </w:r>
          </w:p>
        </w:tc>
        <w:tc>
          <w:tcPr>
            <w:tcW w:type="dxa" w:w="5700"/>
            <w:tcMar>
              <w:top w:type="dxa" w:w="70"/>
              <w:left w:type="dxa" w:w="110"/>
              <w:bottom w:type="dxa" w:w="70"/>
              <w:right w:type="dxa" w:w="110"/>
            </w:tcMar>
          </w:tcPr>
          <w:p>
            <w:pPr>
              <w:spacing w:after="0"/>
            </w:pPr>
            <w:r>
              <w:rPr>
                <w:rFonts w:ascii="Aptos" w:cs="Aptos" w:eastAsia="Aptos" w:hAnsi="Aptos"/>
                <w:sz w:val="19"/>
                <w:szCs w:val="19"/>
              </w:rPr>
              <w:t xml:space="preserve">Language – reading science news critically. SEE – healthcare access in remote places.</w:t>
            </w:r>
          </w:p>
        </w:tc>
        <w:tc>
          <w:tcPr>
            <w:tcW w:type="dxa" w:w="700"/>
            <w:tcMar>
              <w:top w:type="dxa" w:w="70"/>
              <w:left w:type="dxa" w:w="110"/>
              <w:bottom w:type="dxa" w:w="70"/>
              <w:right w:type="dxa" w:w="110"/>
            </w:tcMar>
          </w:tcPr>
          <w:p>
            <w:pPr>
              <w:spacing w:after="0"/>
            </w:pPr>
            <w:r>
              <w:rPr>
                <w:rFonts w:ascii="Aptos" w:cs="Aptos" w:eastAsia="Aptos" w:hAnsi="Aptos"/>
                <w:sz w:val="19"/>
                <w:szCs w:val="19"/>
              </w:rPr>
              <w:t xml:space="preserve"/>
            </w:r>
          </w:p>
        </w:tc>
      </w:tr>
    </w:tbl>
    <w:p>
      <w:pPr>
        <w:pBdr>
          <w:bottom w:val="single" w:color="999999" w:sz="4" w:space="6"/>
        </w:pBdr>
        <w:spacing w:after="110" w:before="320"/>
      </w:pPr>
      <w:r>
        <w:rPr>
          <w:rFonts w:ascii="Aptos" w:cs="Aptos" w:eastAsia="Aptos" w:hAnsi="Aptos"/>
          <w:b/>
          <w:bCs/>
          <w:sz w:val="23"/>
          <w:szCs w:val="23"/>
        </w:rPr>
        <w:t xml:space="preserve">COUNTY BY COUNTY – DOWN (page 23)</w:t>
      </w:r>
    </w:p>
    <w:tbl>
      <w:tblPr>
        <w:tblW w:type="dxa" w:w="8600"/>
        <w:tblBorders>
          <w:top w:val="single" w:color="000000" w:sz="4"/>
          <w:left w:val="single" w:color="000000" w:sz="4"/>
          <w:bottom w:val="single" w:color="000000" w:sz="4"/>
          <w:right w:val="single" w:color="000000" w:sz="4"/>
          <w:insideH w:val="single" w:color="000000" w:sz="4"/>
          <w:insideV w:val="single" w:color="000000" w:sz="4"/>
        </w:tblBorders>
      </w:tblPr>
      <w:tblGrid>
        <w:gridCol w:w="2200"/>
        <w:gridCol w:w="5700"/>
        <w:gridCol w:w="700"/>
      </w:tblGrid>
      <w:tr>
        <w:tc>
          <w:tcPr>
            <w:tcW w:type="dxa" w:w="2200"/>
            <w:tcMar>
              <w:top w:type="dxa" w:w="70"/>
              <w:left w:type="dxa" w:w="110"/>
              <w:bottom w:type="dxa" w:w="70"/>
              <w:right w:type="dxa" w:w="110"/>
            </w:tcMar>
          </w:tcPr>
          <w:p>
            <w:pPr>
              <w:spacing w:after="0"/>
            </w:pPr>
            <w:r>
              <w:rPr>
                <w:rFonts w:ascii="Aptos" w:cs="Aptos" w:eastAsia="Aptos" w:hAnsi="Aptos"/>
                <w:b/>
                <w:bCs/>
                <w:sz w:val="19"/>
                <w:szCs w:val="19"/>
              </w:rPr>
              <w:t xml:space="preserve">Curriculum area / subject</w:t>
            </w:r>
          </w:p>
        </w:tc>
        <w:tc>
          <w:tcPr>
            <w:tcW w:type="dxa" w:w="5700"/>
            <w:tcMar>
              <w:top w:type="dxa" w:w="70"/>
              <w:left w:type="dxa" w:w="110"/>
              <w:bottom w:type="dxa" w:w="70"/>
              <w:right w:type="dxa" w:w="110"/>
            </w:tcMar>
          </w:tcPr>
          <w:p>
            <w:pPr>
              <w:spacing w:after="0"/>
            </w:pPr>
            <w:r>
              <w:rPr>
                <w:rFonts w:ascii="Aptos" w:cs="Aptos" w:eastAsia="Aptos" w:hAnsi="Aptos"/>
                <w:sz w:val="19"/>
                <w:szCs w:val="19"/>
              </w:rPr>
              <w:t xml:space="preserve">Social and Environmental Education – Geography and History</w:t>
            </w:r>
          </w:p>
        </w:tc>
        <w:tc>
          <w:tcPr>
            <w:tcW w:type="dxa" w:w="700"/>
            <w:tcMar>
              <w:top w:type="dxa" w:w="70"/>
              <w:left w:type="dxa" w:w="110"/>
              <w:bottom w:type="dxa" w:w="70"/>
              <w:right w:type="dxa" w:w="110"/>
            </w:tcMar>
          </w:tcPr>
          <w:p>
            <w:pPr>
              <w:spacing w:after="0"/>
            </w:pPr>
            <w:r>
              <w:rPr>
                <w:rFonts w:ascii="Aptos" w:cs="Aptos" w:eastAsia="Aptos" w:hAnsi="Aptos"/>
                <w:sz w:val="19"/>
                <w:szCs w:val="19"/>
              </w:rPr>
              <w:t xml:space="preserve"/>
            </w:r>
          </w:p>
        </w:tc>
      </w:tr>
      <w:tr>
        <w:tc>
          <w:tcPr>
            <w:tcW w:type="dxa" w:w="2200"/>
            <w:tcMar>
              <w:top w:type="dxa" w:w="70"/>
              <w:left w:type="dxa" w:w="110"/>
              <w:bottom w:type="dxa" w:w="70"/>
              <w:right w:type="dxa" w:w="110"/>
            </w:tcMar>
          </w:tcPr>
          <w:p>
            <w:pPr>
              <w:spacing w:after="0"/>
            </w:pPr>
            <w:r>
              <w:rPr>
                <w:rFonts w:ascii="Aptos" w:cs="Aptos" w:eastAsia="Aptos" w:hAnsi="Aptos"/>
                <w:b/>
                <w:bCs/>
                <w:sz w:val="19"/>
                <w:szCs w:val="19"/>
              </w:rPr>
              <w:t xml:space="preserve">Strand / Strand Unit</w:t>
            </w:r>
          </w:p>
        </w:tc>
        <w:tc>
          <w:tcPr>
            <w:tcW w:type="dxa" w:w="5700"/>
            <w:tcMar>
              <w:top w:type="dxa" w:w="70"/>
              <w:left w:type="dxa" w:w="110"/>
              <w:bottom w:type="dxa" w:w="70"/>
              <w:right w:type="dxa" w:w="110"/>
            </w:tcMar>
          </w:tcPr>
          <w:p>
            <w:pPr>
              <w:spacing w:after="0"/>
            </w:pPr>
            <w:r>
              <w:rPr>
                <w:rFonts w:ascii="Aptos" w:cs="Aptos" w:eastAsia="Aptos" w:hAnsi="Aptos"/>
                <w:sz w:val="19"/>
                <w:szCs w:val="19"/>
              </w:rPr>
              <w:t xml:space="preserve">The island of Ireland / People and places.</w:t>
            </w:r>
          </w:p>
        </w:tc>
        <w:tc>
          <w:tcPr>
            <w:tcW w:type="dxa" w:w="700"/>
            <w:tcMar>
              <w:top w:type="dxa" w:w="70"/>
              <w:left w:type="dxa" w:w="110"/>
              <w:bottom w:type="dxa" w:w="70"/>
              <w:right w:type="dxa" w:w="110"/>
            </w:tcMar>
          </w:tcPr>
          <w:p>
            <w:pPr>
              <w:spacing w:after="0"/>
            </w:pPr>
            <w:r>
              <w:rPr>
                <w:rFonts w:ascii="Aptos" w:cs="Aptos" w:eastAsia="Aptos" w:hAnsi="Aptos"/>
                <w:sz w:val="19"/>
                <w:szCs w:val="19"/>
              </w:rPr>
              <w:t xml:space="preserve"/>
            </w:r>
          </w:p>
        </w:tc>
      </w:tr>
      <w:tr>
        <w:tc>
          <w:tcPr>
            <w:tcW w:type="dxa" w:w="2200"/>
            <w:tcMar>
              <w:top w:type="dxa" w:w="70"/>
              <w:left w:type="dxa" w:w="110"/>
              <w:bottom w:type="dxa" w:w="70"/>
              <w:right w:type="dxa" w:w="110"/>
            </w:tcMar>
          </w:tcPr>
          <w:p>
            <w:pPr>
              <w:spacing w:after="0"/>
            </w:pPr>
            <w:r>
              <w:rPr>
                <w:rFonts w:ascii="Aptos" w:cs="Aptos" w:eastAsia="Aptos" w:hAnsi="Aptos"/>
                <w:b/>
                <w:bCs/>
                <w:sz w:val="19"/>
                <w:szCs w:val="19"/>
              </w:rPr>
              <w:t xml:space="preserve">Issue focus</w:t>
            </w:r>
          </w:p>
        </w:tc>
        <w:tc>
          <w:tcPr>
            <w:tcW w:type="dxa" w:w="5700"/>
            <w:tcMar>
              <w:top w:type="dxa" w:w="70"/>
              <w:left w:type="dxa" w:w="110"/>
              <w:bottom w:type="dxa" w:w="70"/>
              <w:right w:type="dxa" w:w="110"/>
            </w:tcMar>
          </w:tcPr>
          <w:p>
            <w:pPr>
              <w:spacing w:after="0"/>
            </w:pPr>
            <w:r>
              <w:rPr>
                <w:rFonts w:ascii="Aptos" w:cs="Aptos" w:eastAsia="Aptos" w:hAnsi="Aptos"/>
                <w:sz w:val="19"/>
                <w:szCs w:val="19"/>
              </w:rPr>
              <w:t xml:space="preserve">The Mourne Mountains, Slieve Donard, Strangford Lough, drumlin farmland, the Mourne Wall, Downpatrick and St Patrick, C.S. Lewis, and the brent geese that winter on the mudflats.</w:t>
            </w:r>
          </w:p>
        </w:tc>
        <w:tc>
          <w:tcPr>
            <w:tcW w:type="dxa" w:w="700"/>
            <w:tcMar>
              <w:top w:type="dxa" w:w="70"/>
              <w:left w:type="dxa" w:w="110"/>
              <w:bottom w:type="dxa" w:w="70"/>
              <w:right w:type="dxa" w:w="110"/>
            </w:tcMar>
          </w:tcPr>
          <w:p>
            <w:pPr>
              <w:spacing w:after="0"/>
            </w:pPr>
            <w:r>
              <w:rPr>
                <w:rFonts w:ascii="Aptos" w:cs="Aptos" w:eastAsia="Aptos" w:hAnsi="Aptos"/>
                <w:sz w:val="19"/>
                <w:szCs w:val="19"/>
              </w:rPr>
              <w:t xml:space="preserve"/>
            </w:r>
          </w:p>
        </w:tc>
      </w:tr>
      <w:tr>
        <w:tc>
          <w:tcPr>
            <w:tcW w:type="dxa" w:w="2200"/>
            <w:tcMar>
              <w:top w:type="dxa" w:w="70"/>
              <w:left w:type="dxa" w:w="110"/>
              <w:bottom w:type="dxa" w:w="70"/>
              <w:right w:type="dxa" w:w="110"/>
            </w:tcMar>
          </w:tcPr>
          <w:p>
            <w:pPr>
              <w:spacing w:after="0"/>
            </w:pPr>
            <w:r>
              <w:rPr>
                <w:rFonts w:ascii="Aptos" w:cs="Aptos" w:eastAsia="Aptos" w:hAnsi="Aptos"/>
                <w:b/>
                <w:bCs/>
                <w:sz w:val="19"/>
                <w:szCs w:val="19"/>
              </w:rPr>
              <w:t xml:space="preserve">Relevant Stage 4 learning outcomes</w:t>
            </w:r>
          </w:p>
        </w:tc>
        <w:tc>
          <w:tcPr>
            <w:tcW w:type="dxa" w:w="5700"/>
            <w:tcMar>
              <w:top w:type="dxa" w:w="70"/>
              <w:left w:type="dxa" w:w="110"/>
              <w:bottom w:type="dxa" w:w="70"/>
              <w:right w:type="dxa" w:w="110"/>
            </w:tcMar>
          </w:tcPr>
          <w:p>
            <w:pPr>
              <w:spacing w:after="80"/>
              <w:ind w:left="200" w:hanging="200"/>
            </w:pPr>
            <w:r>
              <w:rPr>
                <w:rFonts w:ascii="Aptos" w:cs="Aptos" w:eastAsia="Aptos" w:hAnsi="Aptos"/>
                <w:sz w:val="19"/>
                <w:szCs w:val="19"/>
              </w:rPr>
              <w:t xml:space="preserve">•  SEE Geography, The island of Ireland: describe some physical processes that create or alter features of the natural environment in Ireland, such as weathering, erosion, volcanic, tectonic, flooding, deposition, tidal influences, etc.</w:t>
            </w:r>
          </w:p>
          <w:p>
            <w:pPr>
              <w:spacing w:after="80"/>
              <w:ind w:left="200" w:hanging="200"/>
            </w:pPr>
            <w:r>
              <w:rPr>
                <w:rFonts w:ascii="Aptos" w:cs="Aptos" w:eastAsia="Aptos" w:hAnsi="Aptos"/>
                <w:sz w:val="19"/>
                <w:szCs w:val="19"/>
              </w:rPr>
              <w:t xml:space="preserve">•  SEE History, The island of Ireland: investigate and critically reflect on an important event(s) in the history of their county.</w:t>
            </w:r>
          </w:p>
          <w:p>
            <w:pPr>
              <w:spacing w:after="0"/>
              <w:ind w:left="200" w:hanging="200"/>
            </w:pPr>
            <w:r>
              <w:rPr>
                <w:rFonts w:ascii="Aptos" w:cs="Aptos" w:eastAsia="Aptos" w:hAnsi="Aptos"/>
                <w:sz w:val="19"/>
                <w:szCs w:val="19"/>
              </w:rPr>
              <w:t xml:space="preserve">•  Mathematics, Shape and Space: interpret scale maps and create simple scale drawings.</w:t>
            </w:r>
          </w:p>
        </w:tc>
        <w:tc>
          <w:tcPr>
            <w:tcW w:type="dxa" w:w="700"/>
            <w:tcMar>
              <w:top w:type="dxa" w:w="70"/>
              <w:left w:type="dxa" w:w="110"/>
              <w:bottom w:type="dxa" w:w="70"/>
              <w:right w:type="dxa" w:w="110"/>
            </w:tcMar>
          </w:tcPr>
          <w:p>
            <w:pPr>
              <w:spacing w:after="0"/>
            </w:pPr>
            <w:r>
              <w:rPr>
                <w:rFonts w:ascii="Aptos" w:cs="Aptos" w:eastAsia="Aptos" w:hAnsi="Aptos"/>
                <w:sz w:val="19"/>
                <w:szCs w:val="19"/>
              </w:rPr>
              <w:t xml:space="preserve"/>
            </w:r>
          </w:p>
        </w:tc>
      </w:tr>
      <w:tr>
        <w:tc>
          <w:tcPr>
            <w:tcW w:type="dxa" w:w="2200"/>
            <w:tcMar>
              <w:top w:type="dxa" w:w="70"/>
              <w:left w:type="dxa" w:w="110"/>
              <w:bottom w:type="dxa" w:w="70"/>
              <w:right w:type="dxa" w:w="110"/>
            </w:tcMar>
          </w:tcPr>
          <w:p>
            <w:pPr>
              <w:spacing w:after="0"/>
            </w:pPr>
            <w:r>
              <w:rPr>
                <w:rFonts w:ascii="Aptos" w:cs="Aptos" w:eastAsia="Aptos" w:hAnsi="Aptos"/>
                <w:b/>
                <w:bCs/>
                <w:sz w:val="19"/>
                <w:szCs w:val="19"/>
              </w:rPr>
              <w:t xml:space="preserve">Integration</w:t>
            </w:r>
          </w:p>
        </w:tc>
        <w:tc>
          <w:tcPr>
            <w:tcW w:type="dxa" w:w="5700"/>
            <w:tcMar>
              <w:top w:type="dxa" w:w="70"/>
              <w:left w:type="dxa" w:w="110"/>
              <w:bottom w:type="dxa" w:w="70"/>
              <w:right w:type="dxa" w:w="110"/>
            </w:tcMar>
          </w:tcPr>
          <w:p>
            <w:pPr>
              <w:spacing w:after="0"/>
            </w:pPr>
            <w:r>
              <w:rPr>
                <w:rFonts w:ascii="Aptos" w:cs="Aptos" w:eastAsia="Aptos" w:hAnsi="Aptos"/>
                <w:sz w:val="19"/>
                <w:szCs w:val="19"/>
              </w:rPr>
              <w:t xml:space="preserve">Language – Irish place names and their meanings. Science – habitats and migration.</w:t>
            </w:r>
          </w:p>
        </w:tc>
        <w:tc>
          <w:tcPr>
            <w:tcW w:type="dxa" w:w="700"/>
            <w:tcMar>
              <w:top w:type="dxa" w:w="70"/>
              <w:left w:type="dxa" w:w="110"/>
              <w:bottom w:type="dxa" w:w="70"/>
              <w:right w:type="dxa" w:w="110"/>
            </w:tcMar>
          </w:tcPr>
          <w:p>
            <w:pPr>
              <w:spacing w:after="0"/>
            </w:pPr>
            <w:r>
              <w:rPr>
                <w:rFonts w:ascii="Aptos" w:cs="Aptos" w:eastAsia="Aptos" w:hAnsi="Aptos"/>
                <w:sz w:val="19"/>
                <w:szCs w:val="19"/>
              </w:rPr>
              <w:t xml:space="preserve"/>
            </w:r>
          </w:p>
        </w:tc>
      </w:tr>
    </w:tbl>
    <w:p>
      <w:pPr>
        <w:pBdr>
          <w:bottom w:val="single" w:color="999999" w:sz="4" w:space="6"/>
        </w:pBdr>
        <w:spacing w:after="110" w:before="320"/>
      </w:pPr>
      <w:r>
        <w:rPr>
          <w:rFonts w:ascii="Aptos" w:cs="Aptos" w:eastAsia="Aptos" w:hAnsi="Aptos"/>
          <w:b/>
          <w:bCs/>
          <w:sz w:val="23"/>
          <w:szCs w:val="23"/>
        </w:rPr>
        <w:t xml:space="preserve">PLANET FOOD (page 24)</w:t>
      </w:r>
    </w:p>
    <w:tbl>
      <w:tblPr>
        <w:tblW w:type="dxa" w:w="8600"/>
        <w:tblBorders>
          <w:top w:val="single" w:color="000000" w:sz="4"/>
          <w:left w:val="single" w:color="000000" w:sz="4"/>
          <w:bottom w:val="single" w:color="000000" w:sz="4"/>
          <w:right w:val="single" w:color="000000" w:sz="4"/>
          <w:insideH w:val="single" w:color="000000" w:sz="4"/>
          <w:insideV w:val="single" w:color="000000" w:sz="4"/>
        </w:tblBorders>
      </w:tblPr>
      <w:tblGrid>
        <w:gridCol w:w="2200"/>
        <w:gridCol w:w="5700"/>
        <w:gridCol w:w="700"/>
      </w:tblGrid>
      <w:tr>
        <w:tc>
          <w:tcPr>
            <w:tcW w:type="dxa" w:w="2200"/>
            <w:tcMar>
              <w:top w:type="dxa" w:w="70"/>
              <w:left w:type="dxa" w:w="110"/>
              <w:bottom w:type="dxa" w:w="70"/>
              <w:right w:type="dxa" w:w="110"/>
            </w:tcMar>
          </w:tcPr>
          <w:p>
            <w:pPr>
              <w:spacing w:after="0"/>
            </w:pPr>
            <w:r>
              <w:rPr>
                <w:rFonts w:ascii="Aptos" w:cs="Aptos" w:eastAsia="Aptos" w:hAnsi="Aptos"/>
                <w:b/>
                <w:bCs/>
                <w:sz w:val="19"/>
                <w:szCs w:val="19"/>
              </w:rPr>
              <w:t xml:space="preserve">Curriculum area / subject</w:t>
            </w:r>
          </w:p>
        </w:tc>
        <w:tc>
          <w:tcPr>
            <w:tcW w:type="dxa" w:w="5700"/>
            <w:tcMar>
              <w:top w:type="dxa" w:w="70"/>
              <w:left w:type="dxa" w:w="110"/>
              <w:bottom w:type="dxa" w:w="70"/>
              <w:right w:type="dxa" w:w="110"/>
            </w:tcMar>
          </w:tcPr>
          <w:p>
            <w:pPr>
              <w:spacing w:after="0"/>
            </w:pPr>
            <w:r>
              <w:rPr>
                <w:rFonts w:ascii="Aptos" w:cs="Aptos" w:eastAsia="Aptos" w:hAnsi="Aptos"/>
                <w:sz w:val="19"/>
                <w:szCs w:val="19"/>
              </w:rPr>
              <w:t xml:space="preserve">Wellbeing – SPHE; STEM Education – Mathematics</w:t>
            </w:r>
          </w:p>
        </w:tc>
        <w:tc>
          <w:tcPr>
            <w:tcW w:type="dxa" w:w="700"/>
            <w:tcMar>
              <w:top w:type="dxa" w:w="70"/>
              <w:left w:type="dxa" w:w="110"/>
              <w:bottom w:type="dxa" w:w="70"/>
              <w:right w:type="dxa" w:w="110"/>
            </w:tcMar>
          </w:tcPr>
          <w:p>
            <w:pPr>
              <w:spacing w:after="0"/>
            </w:pPr>
            <w:r>
              <w:rPr>
                <w:rFonts w:ascii="Aptos" w:cs="Aptos" w:eastAsia="Aptos" w:hAnsi="Aptos"/>
                <w:sz w:val="19"/>
                <w:szCs w:val="19"/>
              </w:rPr>
              <w:t xml:space="preserve"/>
            </w:r>
          </w:p>
        </w:tc>
      </w:tr>
      <w:tr>
        <w:tc>
          <w:tcPr>
            <w:tcW w:type="dxa" w:w="2200"/>
            <w:tcMar>
              <w:top w:type="dxa" w:w="70"/>
              <w:left w:type="dxa" w:w="110"/>
              <w:bottom w:type="dxa" w:w="70"/>
              <w:right w:type="dxa" w:w="110"/>
            </w:tcMar>
          </w:tcPr>
          <w:p>
            <w:pPr>
              <w:spacing w:after="0"/>
            </w:pPr>
            <w:r>
              <w:rPr>
                <w:rFonts w:ascii="Aptos" w:cs="Aptos" w:eastAsia="Aptos" w:hAnsi="Aptos"/>
                <w:b/>
                <w:bCs/>
                <w:sz w:val="19"/>
                <w:szCs w:val="19"/>
              </w:rPr>
              <w:t xml:space="preserve">Strand / Strand Unit</w:t>
            </w:r>
          </w:p>
        </w:tc>
        <w:tc>
          <w:tcPr>
            <w:tcW w:type="dxa" w:w="5700"/>
            <w:tcMar>
              <w:top w:type="dxa" w:w="70"/>
              <w:left w:type="dxa" w:w="110"/>
              <w:bottom w:type="dxa" w:w="70"/>
              <w:right w:type="dxa" w:w="110"/>
            </w:tcMar>
          </w:tcPr>
          <w:p>
            <w:pPr>
              <w:spacing w:after="0"/>
            </w:pPr>
            <w:r>
              <w:rPr>
                <w:rFonts w:ascii="Aptos" w:cs="Aptos" w:eastAsia="Aptos" w:hAnsi="Aptos"/>
                <w:sz w:val="19"/>
                <w:szCs w:val="19"/>
              </w:rPr>
              <w:t xml:space="preserve">Health education / Healthy living. Mathematics: Measures; Number.</w:t>
            </w:r>
          </w:p>
        </w:tc>
        <w:tc>
          <w:tcPr>
            <w:tcW w:type="dxa" w:w="700"/>
            <w:tcMar>
              <w:top w:type="dxa" w:w="70"/>
              <w:left w:type="dxa" w:w="110"/>
              <w:bottom w:type="dxa" w:w="70"/>
              <w:right w:type="dxa" w:w="110"/>
            </w:tcMar>
          </w:tcPr>
          <w:p>
            <w:pPr>
              <w:spacing w:after="0"/>
            </w:pPr>
            <w:r>
              <w:rPr>
                <w:rFonts w:ascii="Aptos" w:cs="Aptos" w:eastAsia="Aptos" w:hAnsi="Aptos"/>
                <w:sz w:val="19"/>
                <w:szCs w:val="19"/>
              </w:rPr>
              <w:t xml:space="preserve"/>
            </w:r>
          </w:p>
        </w:tc>
      </w:tr>
      <w:tr>
        <w:tc>
          <w:tcPr>
            <w:tcW w:type="dxa" w:w="2200"/>
            <w:tcMar>
              <w:top w:type="dxa" w:w="70"/>
              <w:left w:type="dxa" w:w="110"/>
              <w:bottom w:type="dxa" w:w="70"/>
              <w:right w:type="dxa" w:w="110"/>
            </w:tcMar>
          </w:tcPr>
          <w:p>
            <w:pPr>
              <w:spacing w:after="0"/>
            </w:pPr>
            <w:r>
              <w:rPr>
                <w:rFonts w:ascii="Aptos" w:cs="Aptos" w:eastAsia="Aptos" w:hAnsi="Aptos"/>
                <w:b/>
                <w:bCs/>
                <w:sz w:val="19"/>
                <w:szCs w:val="19"/>
              </w:rPr>
              <w:t xml:space="preserve">Issue focus</w:t>
            </w:r>
          </w:p>
        </w:tc>
        <w:tc>
          <w:tcPr>
            <w:tcW w:type="dxa" w:w="5700"/>
            <w:tcMar>
              <w:top w:type="dxa" w:w="70"/>
              <w:left w:type="dxa" w:w="110"/>
              <w:bottom w:type="dxa" w:w="70"/>
              <w:right w:type="dxa" w:w="110"/>
            </w:tcMar>
          </w:tcPr>
          <w:p>
            <w:pPr>
              <w:spacing w:after="0"/>
            </w:pPr>
            <w:r>
              <w:rPr>
                <w:rFonts w:ascii="Aptos" w:cs="Aptos" w:eastAsia="Aptos" w:hAnsi="Aptos"/>
                <w:sz w:val="19"/>
                <w:szCs w:val="19"/>
              </w:rPr>
              <w:t xml:space="preserve">The history of shortbread, and a recipe making 18 spooky shortbread fingers.</w:t>
            </w:r>
          </w:p>
        </w:tc>
        <w:tc>
          <w:tcPr>
            <w:tcW w:type="dxa" w:w="700"/>
            <w:tcMar>
              <w:top w:type="dxa" w:w="70"/>
              <w:left w:type="dxa" w:w="110"/>
              <w:bottom w:type="dxa" w:w="70"/>
              <w:right w:type="dxa" w:w="110"/>
            </w:tcMar>
          </w:tcPr>
          <w:p>
            <w:pPr>
              <w:spacing w:after="0"/>
            </w:pPr>
            <w:r>
              <w:rPr>
                <w:rFonts w:ascii="Aptos" w:cs="Aptos" w:eastAsia="Aptos" w:hAnsi="Aptos"/>
                <w:sz w:val="19"/>
                <w:szCs w:val="19"/>
              </w:rPr>
              <w:t xml:space="preserve"/>
            </w:r>
          </w:p>
        </w:tc>
      </w:tr>
      <w:tr>
        <w:tc>
          <w:tcPr>
            <w:tcW w:type="dxa" w:w="2200"/>
            <w:tcMar>
              <w:top w:type="dxa" w:w="70"/>
              <w:left w:type="dxa" w:w="110"/>
              <w:bottom w:type="dxa" w:w="70"/>
              <w:right w:type="dxa" w:w="110"/>
            </w:tcMar>
          </w:tcPr>
          <w:p>
            <w:pPr>
              <w:spacing w:after="0"/>
            </w:pPr>
            <w:r>
              <w:rPr>
                <w:rFonts w:ascii="Aptos" w:cs="Aptos" w:eastAsia="Aptos" w:hAnsi="Aptos"/>
                <w:b/>
                <w:bCs/>
                <w:sz w:val="19"/>
                <w:szCs w:val="19"/>
              </w:rPr>
              <w:t xml:space="preserve">Relevant Stage 4 learning outcomes</w:t>
            </w:r>
          </w:p>
        </w:tc>
        <w:tc>
          <w:tcPr>
            <w:tcW w:type="dxa" w:w="5700"/>
            <w:tcMar>
              <w:top w:type="dxa" w:w="70"/>
              <w:left w:type="dxa" w:w="110"/>
              <w:bottom w:type="dxa" w:w="70"/>
              <w:right w:type="dxa" w:w="110"/>
            </w:tcMar>
          </w:tcPr>
          <w:p>
            <w:pPr>
              <w:spacing w:after="80"/>
              <w:ind w:left="200" w:hanging="200"/>
            </w:pPr>
            <w:r>
              <w:rPr>
                <w:rFonts w:ascii="Aptos" w:cs="Aptos" w:eastAsia="Aptos" w:hAnsi="Aptos"/>
                <w:sz w:val="19"/>
                <w:szCs w:val="19"/>
              </w:rPr>
              <w:t xml:space="preserve">•  Wellbeing, Health education: demonstrate a positive attitude towards nurturing their wellbeing in areas such as physical activity, outdoor experiences, food, hygiene, sleep, rest and relaxation, appreciating the importance of a balanced lifestyle and acknowledging changing needs as they grow.</w:t>
            </w:r>
          </w:p>
          <w:p>
            <w:pPr>
              <w:spacing w:after="80"/>
              <w:ind w:left="200" w:hanging="200"/>
            </w:pPr>
            <w:r>
              <w:rPr>
                <w:rFonts w:ascii="Aptos" w:cs="Aptos" w:eastAsia="Aptos" w:hAnsi="Aptos"/>
                <w:sz w:val="19"/>
                <w:szCs w:val="19"/>
              </w:rPr>
              <w:t xml:space="preserve">•  Mathematics, Measures: determine and calculate units of measurement in fractional and/or decimal form to solve practical problems.</w:t>
            </w:r>
          </w:p>
          <w:p>
            <w:pPr>
              <w:spacing w:after="0"/>
              <w:ind w:left="200" w:hanging="200"/>
            </w:pPr>
            <w:r>
              <w:rPr>
                <w:rFonts w:ascii="Aptos" w:cs="Aptos" w:eastAsia="Aptos" w:hAnsi="Aptos"/>
                <w:sz w:val="19"/>
                <w:szCs w:val="19"/>
              </w:rPr>
              <w:t xml:space="preserve">•  Mathematics, Number: build upon, select and make use of a range of operation strategies.</w:t>
            </w:r>
          </w:p>
        </w:tc>
        <w:tc>
          <w:tcPr>
            <w:tcW w:type="dxa" w:w="700"/>
            <w:tcMar>
              <w:top w:type="dxa" w:w="70"/>
              <w:left w:type="dxa" w:w="110"/>
              <w:bottom w:type="dxa" w:w="70"/>
              <w:right w:type="dxa" w:w="110"/>
            </w:tcMar>
          </w:tcPr>
          <w:p>
            <w:pPr>
              <w:spacing w:after="0"/>
            </w:pPr>
            <w:r>
              <w:rPr>
                <w:rFonts w:ascii="Aptos" w:cs="Aptos" w:eastAsia="Aptos" w:hAnsi="Aptos"/>
                <w:sz w:val="19"/>
                <w:szCs w:val="19"/>
              </w:rPr>
              <w:t xml:space="preserve"/>
            </w:r>
          </w:p>
        </w:tc>
      </w:tr>
      <w:tr>
        <w:tc>
          <w:tcPr>
            <w:tcW w:type="dxa" w:w="2200"/>
            <w:tcMar>
              <w:top w:type="dxa" w:w="70"/>
              <w:left w:type="dxa" w:w="110"/>
              <w:bottom w:type="dxa" w:w="70"/>
              <w:right w:type="dxa" w:w="110"/>
            </w:tcMar>
          </w:tcPr>
          <w:p>
            <w:pPr>
              <w:spacing w:after="0"/>
            </w:pPr>
            <w:r>
              <w:rPr>
                <w:rFonts w:ascii="Aptos" w:cs="Aptos" w:eastAsia="Aptos" w:hAnsi="Aptos"/>
                <w:b/>
                <w:bCs/>
                <w:sz w:val="19"/>
                <w:szCs w:val="19"/>
              </w:rPr>
              <w:t xml:space="preserve">Integration</w:t>
            </w:r>
          </w:p>
        </w:tc>
        <w:tc>
          <w:tcPr>
            <w:tcW w:type="dxa" w:w="5700"/>
            <w:tcMar>
              <w:top w:type="dxa" w:w="70"/>
              <w:left w:type="dxa" w:w="110"/>
              <w:bottom w:type="dxa" w:w="70"/>
              <w:right w:type="dxa" w:w="110"/>
            </w:tcMar>
          </w:tcPr>
          <w:p>
            <w:pPr>
              <w:spacing w:after="0"/>
            </w:pPr>
            <w:r>
              <w:rPr>
                <w:rFonts w:ascii="Aptos" w:cs="Aptos" w:eastAsia="Aptos" w:hAnsi="Aptos"/>
                <w:sz w:val="19"/>
                <w:szCs w:val="19"/>
              </w:rPr>
              <w:t xml:space="preserve">Language – procedural writing. SEE – food history and traditions.</w:t>
            </w:r>
          </w:p>
        </w:tc>
        <w:tc>
          <w:tcPr>
            <w:tcW w:type="dxa" w:w="700"/>
            <w:tcMar>
              <w:top w:type="dxa" w:w="70"/>
              <w:left w:type="dxa" w:w="110"/>
              <w:bottom w:type="dxa" w:w="70"/>
              <w:right w:type="dxa" w:w="110"/>
            </w:tcMar>
          </w:tcPr>
          <w:p>
            <w:pPr>
              <w:spacing w:after="0"/>
            </w:pPr>
            <w:r>
              <w:rPr>
                <w:rFonts w:ascii="Aptos" w:cs="Aptos" w:eastAsia="Aptos" w:hAnsi="Aptos"/>
                <w:sz w:val="19"/>
                <w:szCs w:val="19"/>
              </w:rPr>
              <w:t xml:space="preserve"/>
            </w:r>
          </w:p>
        </w:tc>
      </w:tr>
    </w:tbl>
    <w:p>
      <w:pPr>
        <w:pBdr>
          <w:bottom w:val="single" w:color="999999" w:sz="4" w:space="6"/>
        </w:pBdr>
        <w:spacing w:after="110" w:before="320"/>
      </w:pPr>
      <w:r>
        <w:rPr>
          <w:rFonts w:ascii="Aptos" w:cs="Aptos" w:eastAsia="Aptos" w:hAnsi="Aptos"/>
          <w:b/>
          <w:bCs/>
          <w:sz w:val="23"/>
          <w:szCs w:val="23"/>
        </w:rPr>
        <w:t xml:space="preserve">PLANET MUSIC (page 25)</w:t>
      </w:r>
    </w:p>
    <w:tbl>
      <w:tblPr>
        <w:tblW w:type="dxa" w:w="8600"/>
        <w:tblBorders>
          <w:top w:val="single" w:color="000000" w:sz="4"/>
          <w:left w:val="single" w:color="000000" w:sz="4"/>
          <w:bottom w:val="single" w:color="000000" w:sz="4"/>
          <w:right w:val="single" w:color="000000" w:sz="4"/>
          <w:insideH w:val="single" w:color="000000" w:sz="4"/>
          <w:insideV w:val="single" w:color="000000" w:sz="4"/>
        </w:tblBorders>
      </w:tblPr>
      <w:tblGrid>
        <w:gridCol w:w="2200"/>
        <w:gridCol w:w="5700"/>
        <w:gridCol w:w="700"/>
      </w:tblGrid>
      <w:tr>
        <w:tc>
          <w:tcPr>
            <w:tcW w:type="dxa" w:w="2200"/>
            <w:tcMar>
              <w:top w:type="dxa" w:w="70"/>
              <w:left w:type="dxa" w:w="110"/>
              <w:bottom w:type="dxa" w:w="70"/>
              <w:right w:type="dxa" w:w="110"/>
            </w:tcMar>
          </w:tcPr>
          <w:p>
            <w:pPr>
              <w:spacing w:after="0"/>
            </w:pPr>
            <w:r>
              <w:rPr>
                <w:rFonts w:ascii="Aptos" w:cs="Aptos" w:eastAsia="Aptos" w:hAnsi="Aptos"/>
                <w:b/>
                <w:bCs/>
                <w:sz w:val="19"/>
                <w:szCs w:val="19"/>
              </w:rPr>
              <w:t xml:space="preserve">Curriculum area / subject</w:t>
            </w:r>
          </w:p>
        </w:tc>
        <w:tc>
          <w:tcPr>
            <w:tcW w:type="dxa" w:w="5700"/>
            <w:tcMar>
              <w:top w:type="dxa" w:w="70"/>
              <w:left w:type="dxa" w:w="110"/>
              <w:bottom w:type="dxa" w:w="70"/>
              <w:right w:type="dxa" w:w="110"/>
            </w:tcMar>
          </w:tcPr>
          <w:p>
            <w:pPr>
              <w:spacing w:after="0"/>
            </w:pPr>
            <w:r>
              <w:rPr>
                <w:rFonts w:ascii="Aptos" w:cs="Aptos" w:eastAsia="Aptos" w:hAnsi="Aptos"/>
                <w:sz w:val="19"/>
                <w:szCs w:val="19"/>
              </w:rPr>
              <w:t xml:space="preserve">Arts Education – Music</w:t>
            </w:r>
          </w:p>
        </w:tc>
        <w:tc>
          <w:tcPr>
            <w:tcW w:type="dxa" w:w="700"/>
            <w:tcMar>
              <w:top w:type="dxa" w:w="70"/>
              <w:left w:type="dxa" w:w="110"/>
              <w:bottom w:type="dxa" w:w="70"/>
              <w:right w:type="dxa" w:w="110"/>
            </w:tcMar>
          </w:tcPr>
          <w:p>
            <w:pPr>
              <w:spacing w:after="0"/>
            </w:pPr>
            <w:r>
              <w:rPr>
                <w:rFonts w:ascii="Aptos" w:cs="Aptos" w:eastAsia="Aptos" w:hAnsi="Aptos"/>
                <w:sz w:val="19"/>
                <w:szCs w:val="19"/>
              </w:rPr>
              <w:t xml:space="preserve"/>
            </w:r>
          </w:p>
        </w:tc>
      </w:tr>
      <w:tr>
        <w:tc>
          <w:tcPr>
            <w:tcW w:type="dxa" w:w="2200"/>
            <w:tcMar>
              <w:top w:type="dxa" w:w="70"/>
              <w:left w:type="dxa" w:w="110"/>
              <w:bottom w:type="dxa" w:w="70"/>
              <w:right w:type="dxa" w:w="110"/>
            </w:tcMar>
          </w:tcPr>
          <w:p>
            <w:pPr>
              <w:spacing w:after="0"/>
            </w:pPr>
            <w:r>
              <w:rPr>
                <w:rFonts w:ascii="Aptos" w:cs="Aptos" w:eastAsia="Aptos" w:hAnsi="Aptos"/>
                <w:b/>
                <w:bCs/>
                <w:sz w:val="19"/>
                <w:szCs w:val="19"/>
              </w:rPr>
              <w:t xml:space="preserve">Strand / Strand Unit</w:t>
            </w:r>
          </w:p>
        </w:tc>
        <w:tc>
          <w:tcPr>
            <w:tcW w:type="dxa" w:w="5700"/>
            <w:tcMar>
              <w:top w:type="dxa" w:w="70"/>
              <w:left w:type="dxa" w:w="110"/>
              <w:bottom w:type="dxa" w:w="70"/>
              <w:right w:type="dxa" w:w="110"/>
            </w:tcMar>
          </w:tcPr>
          <w:p>
            <w:pPr>
              <w:spacing w:after="0"/>
            </w:pPr>
            <w:r>
              <w:rPr>
                <w:rFonts w:ascii="Aptos" w:cs="Aptos" w:eastAsia="Aptos" w:hAnsi="Aptos"/>
                <w:sz w:val="19"/>
                <w:szCs w:val="19"/>
              </w:rPr>
              <w:t xml:space="preserve">Listening and responding; Performing; Composing.</w:t>
            </w:r>
          </w:p>
        </w:tc>
        <w:tc>
          <w:tcPr>
            <w:tcW w:type="dxa" w:w="700"/>
            <w:tcMar>
              <w:top w:type="dxa" w:w="70"/>
              <w:left w:type="dxa" w:w="110"/>
              <w:bottom w:type="dxa" w:w="70"/>
              <w:right w:type="dxa" w:w="110"/>
            </w:tcMar>
          </w:tcPr>
          <w:p>
            <w:pPr>
              <w:spacing w:after="0"/>
            </w:pPr>
            <w:r>
              <w:rPr>
                <w:rFonts w:ascii="Aptos" w:cs="Aptos" w:eastAsia="Aptos" w:hAnsi="Aptos"/>
                <w:sz w:val="19"/>
                <w:szCs w:val="19"/>
              </w:rPr>
              <w:t xml:space="preserve"/>
            </w:r>
          </w:p>
        </w:tc>
      </w:tr>
      <w:tr>
        <w:tc>
          <w:tcPr>
            <w:tcW w:type="dxa" w:w="2200"/>
            <w:tcMar>
              <w:top w:type="dxa" w:w="70"/>
              <w:left w:type="dxa" w:w="110"/>
              <w:bottom w:type="dxa" w:w="70"/>
              <w:right w:type="dxa" w:w="110"/>
            </w:tcMar>
          </w:tcPr>
          <w:p>
            <w:pPr>
              <w:spacing w:after="0"/>
            </w:pPr>
            <w:r>
              <w:rPr>
                <w:rFonts w:ascii="Aptos" w:cs="Aptos" w:eastAsia="Aptos" w:hAnsi="Aptos"/>
                <w:b/>
                <w:bCs/>
                <w:sz w:val="19"/>
                <w:szCs w:val="19"/>
              </w:rPr>
              <w:t xml:space="preserve">Issue focus</w:t>
            </w:r>
          </w:p>
        </w:tc>
        <w:tc>
          <w:tcPr>
            <w:tcW w:type="dxa" w:w="5700"/>
            <w:tcMar>
              <w:top w:type="dxa" w:w="70"/>
              <w:left w:type="dxa" w:w="110"/>
              <w:bottom w:type="dxa" w:w="70"/>
              <w:right w:type="dxa" w:w="110"/>
            </w:tcMar>
          </w:tcPr>
          <w:p>
            <w:pPr>
              <w:spacing w:after="0"/>
            </w:pPr>
            <w:r>
              <w:rPr>
                <w:rFonts w:ascii="Aptos" w:cs="Aptos" w:eastAsia="Aptos" w:hAnsi="Aptos"/>
                <w:sz w:val="19"/>
                <w:szCs w:val="19"/>
              </w:rPr>
              <w:t xml:space="preserve">The musical alphabet, sharps and flats, ascending and descending scales, and Hans Zimmer, the self-taught composer behind The Lion King and Dune.</w:t>
            </w:r>
          </w:p>
        </w:tc>
        <w:tc>
          <w:tcPr>
            <w:tcW w:type="dxa" w:w="700"/>
            <w:tcMar>
              <w:top w:type="dxa" w:w="70"/>
              <w:left w:type="dxa" w:w="110"/>
              <w:bottom w:type="dxa" w:w="70"/>
              <w:right w:type="dxa" w:w="110"/>
            </w:tcMar>
          </w:tcPr>
          <w:p>
            <w:pPr>
              <w:spacing w:after="0"/>
            </w:pPr>
            <w:r>
              <w:rPr>
                <w:rFonts w:ascii="Aptos" w:cs="Aptos" w:eastAsia="Aptos" w:hAnsi="Aptos"/>
                <w:sz w:val="19"/>
                <w:szCs w:val="19"/>
              </w:rPr>
              <w:t xml:space="preserve"/>
            </w:r>
          </w:p>
        </w:tc>
      </w:tr>
      <w:tr>
        <w:tc>
          <w:tcPr>
            <w:tcW w:type="dxa" w:w="2200"/>
            <w:tcMar>
              <w:top w:type="dxa" w:w="70"/>
              <w:left w:type="dxa" w:w="110"/>
              <w:bottom w:type="dxa" w:w="70"/>
              <w:right w:type="dxa" w:w="110"/>
            </w:tcMar>
          </w:tcPr>
          <w:p>
            <w:pPr>
              <w:spacing w:after="0"/>
            </w:pPr>
            <w:r>
              <w:rPr>
                <w:rFonts w:ascii="Aptos" w:cs="Aptos" w:eastAsia="Aptos" w:hAnsi="Aptos"/>
                <w:b/>
                <w:bCs/>
                <w:sz w:val="19"/>
                <w:szCs w:val="19"/>
              </w:rPr>
              <w:t xml:space="preserve">Relevant Stage 4 learning outcomes</w:t>
            </w:r>
          </w:p>
        </w:tc>
        <w:tc>
          <w:tcPr>
            <w:tcW w:type="dxa" w:w="5700"/>
            <w:tcMar>
              <w:top w:type="dxa" w:w="70"/>
              <w:left w:type="dxa" w:w="110"/>
              <w:bottom w:type="dxa" w:w="70"/>
              <w:right w:type="dxa" w:w="110"/>
            </w:tcMar>
          </w:tcPr>
          <w:p>
            <w:pPr>
              <w:spacing w:after="80"/>
              <w:ind w:left="200" w:hanging="200"/>
            </w:pPr>
            <w:r>
              <w:rPr>
                <w:rFonts w:ascii="Aptos" w:cs="Aptos" w:eastAsia="Aptos" w:hAnsi="Aptos"/>
                <w:sz w:val="19"/>
                <w:szCs w:val="19"/>
              </w:rPr>
              <w:t xml:space="preserve">•  Music, Responding and connecting: listen to, follow, interpret, respond, reflect on, analyse and critique a variety of songs, musical pieces and excerpts in a range of active sensory and embodied ways.</w:t>
            </w:r>
          </w:p>
          <w:p>
            <w:pPr>
              <w:spacing w:after="80"/>
              <w:ind w:left="200" w:hanging="200"/>
            </w:pPr>
            <w:r>
              <w:rPr>
                <w:rFonts w:ascii="Aptos" w:cs="Aptos" w:eastAsia="Aptos" w:hAnsi="Aptos"/>
                <w:sz w:val="19"/>
                <w:szCs w:val="19"/>
              </w:rPr>
              <w:t xml:space="preserve">•  Music, Performing and presenting: demonstrate confident, controlled and expressive use of pulse, tempo, duration, rhythm, pitch, dynamics, timbre, texture and structure in their music-making.</w:t>
            </w:r>
          </w:p>
          <w:p>
            <w:pPr>
              <w:spacing w:after="0"/>
              <w:ind w:left="200" w:hanging="200"/>
            </w:pPr>
            <w:r>
              <w:rPr>
                <w:rFonts w:ascii="Aptos" w:cs="Aptos" w:eastAsia="Aptos" w:hAnsi="Aptos"/>
                <w:sz w:val="19"/>
                <w:szCs w:val="19"/>
              </w:rPr>
              <w:t xml:space="preserve">•  All artforms, Responding and connecting: identify, compare and contrast interpretations, characteristics, instruments and techniques associated with arts works of various artists, musicians, periods, genres and cultural contexts from Ireland and the wider world.</w:t>
            </w:r>
          </w:p>
        </w:tc>
        <w:tc>
          <w:tcPr>
            <w:tcW w:type="dxa" w:w="700"/>
            <w:tcMar>
              <w:top w:type="dxa" w:w="70"/>
              <w:left w:type="dxa" w:w="110"/>
              <w:bottom w:type="dxa" w:w="70"/>
              <w:right w:type="dxa" w:w="110"/>
            </w:tcMar>
          </w:tcPr>
          <w:p>
            <w:pPr>
              <w:spacing w:after="0"/>
            </w:pPr>
            <w:r>
              <w:rPr>
                <w:rFonts w:ascii="Aptos" w:cs="Aptos" w:eastAsia="Aptos" w:hAnsi="Aptos"/>
                <w:sz w:val="19"/>
                <w:szCs w:val="19"/>
              </w:rPr>
              <w:t xml:space="preserve"/>
            </w:r>
          </w:p>
        </w:tc>
      </w:tr>
      <w:tr>
        <w:tc>
          <w:tcPr>
            <w:tcW w:type="dxa" w:w="2200"/>
            <w:tcMar>
              <w:top w:type="dxa" w:w="70"/>
              <w:left w:type="dxa" w:w="110"/>
              <w:bottom w:type="dxa" w:w="70"/>
              <w:right w:type="dxa" w:w="110"/>
            </w:tcMar>
          </w:tcPr>
          <w:p>
            <w:pPr>
              <w:spacing w:after="0"/>
            </w:pPr>
            <w:r>
              <w:rPr>
                <w:rFonts w:ascii="Aptos" w:cs="Aptos" w:eastAsia="Aptos" w:hAnsi="Aptos"/>
                <w:b/>
                <w:bCs/>
                <w:sz w:val="19"/>
                <w:szCs w:val="19"/>
              </w:rPr>
              <w:t xml:space="preserve">Integration</w:t>
            </w:r>
          </w:p>
        </w:tc>
        <w:tc>
          <w:tcPr>
            <w:tcW w:type="dxa" w:w="5700"/>
            <w:tcMar>
              <w:top w:type="dxa" w:w="70"/>
              <w:left w:type="dxa" w:w="110"/>
              <w:bottom w:type="dxa" w:w="70"/>
              <w:right w:type="dxa" w:w="110"/>
            </w:tcMar>
          </w:tcPr>
          <w:p>
            <w:pPr>
              <w:spacing w:after="0"/>
            </w:pPr>
            <w:r>
              <w:rPr>
                <w:rFonts w:ascii="Aptos" w:cs="Aptos" w:eastAsia="Aptos" w:hAnsi="Aptos"/>
                <w:sz w:val="19"/>
                <w:szCs w:val="19"/>
              </w:rPr>
              <w:t xml:space="preserve">The Musical Alphabet lesson in the Resource Pack. Mathematics – pattern and sequence.</w:t>
            </w:r>
          </w:p>
        </w:tc>
        <w:tc>
          <w:tcPr>
            <w:tcW w:type="dxa" w:w="700"/>
            <w:tcMar>
              <w:top w:type="dxa" w:w="70"/>
              <w:left w:type="dxa" w:w="110"/>
              <w:bottom w:type="dxa" w:w="70"/>
              <w:right w:type="dxa" w:w="110"/>
            </w:tcMar>
          </w:tcPr>
          <w:p>
            <w:pPr>
              <w:spacing w:after="0"/>
            </w:pPr>
            <w:r>
              <w:rPr>
                <w:rFonts w:ascii="Aptos" w:cs="Aptos" w:eastAsia="Aptos" w:hAnsi="Aptos"/>
                <w:sz w:val="19"/>
                <w:szCs w:val="19"/>
              </w:rPr>
              <w:t xml:space="preserve"/>
            </w:r>
          </w:p>
        </w:tc>
      </w:tr>
    </w:tbl>
    <w:p>
      <w:pPr>
        <w:pBdr>
          <w:bottom w:val="single" w:color="999999" w:sz="4" w:space="6"/>
        </w:pBdr>
        <w:spacing w:after="110" w:before="320"/>
      </w:pPr>
      <w:r>
        <w:rPr>
          <w:rFonts w:ascii="Aptos" w:cs="Aptos" w:eastAsia="Aptos" w:hAnsi="Aptos"/>
          <w:b/>
          <w:bCs/>
          <w:sz w:val="23"/>
          <w:szCs w:val="23"/>
        </w:rPr>
        <w:t xml:space="preserve">PLANET BOOKS (page 26)</w:t>
      </w:r>
    </w:p>
    <w:tbl>
      <w:tblPr>
        <w:tblW w:type="dxa" w:w="8600"/>
        <w:tblBorders>
          <w:top w:val="single" w:color="000000" w:sz="4"/>
          <w:left w:val="single" w:color="000000" w:sz="4"/>
          <w:bottom w:val="single" w:color="000000" w:sz="4"/>
          <w:right w:val="single" w:color="000000" w:sz="4"/>
          <w:insideH w:val="single" w:color="000000" w:sz="4"/>
          <w:insideV w:val="single" w:color="000000" w:sz="4"/>
        </w:tblBorders>
      </w:tblPr>
      <w:tblGrid>
        <w:gridCol w:w="2200"/>
        <w:gridCol w:w="5700"/>
        <w:gridCol w:w="700"/>
      </w:tblGrid>
      <w:tr>
        <w:tc>
          <w:tcPr>
            <w:tcW w:type="dxa" w:w="2200"/>
            <w:tcMar>
              <w:top w:type="dxa" w:w="70"/>
              <w:left w:type="dxa" w:w="110"/>
              <w:bottom w:type="dxa" w:w="70"/>
              <w:right w:type="dxa" w:w="110"/>
            </w:tcMar>
          </w:tcPr>
          <w:p>
            <w:pPr>
              <w:spacing w:after="0"/>
            </w:pPr>
            <w:r>
              <w:rPr>
                <w:rFonts w:ascii="Aptos" w:cs="Aptos" w:eastAsia="Aptos" w:hAnsi="Aptos"/>
                <w:b/>
                <w:bCs/>
                <w:sz w:val="19"/>
                <w:szCs w:val="19"/>
              </w:rPr>
              <w:t xml:space="preserve">Curriculum area / subject</w:t>
            </w:r>
          </w:p>
        </w:tc>
        <w:tc>
          <w:tcPr>
            <w:tcW w:type="dxa" w:w="5700"/>
            <w:tcMar>
              <w:top w:type="dxa" w:w="70"/>
              <w:left w:type="dxa" w:w="110"/>
              <w:bottom w:type="dxa" w:w="70"/>
              <w:right w:type="dxa" w:w="110"/>
            </w:tcMar>
          </w:tcPr>
          <w:p>
            <w:pPr>
              <w:spacing w:after="0"/>
            </w:pPr>
            <w:r>
              <w:rPr>
                <w:rFonts w:ascii="Aptos" w:cs="Aptos" w:eastAsia="Aptos" w:hAnsi="Aptos"/>
                <w:sz w:val="19"/>
                <w:szCs w:val="19"/>
              </w:rPr>
              <w:t xml:space="preserve">Language – English</w:t>
            </w:r>
          </w:p>
        </w:tc>
        <w:tc>
          <w:tcPr>
            <w:tcW w:type="dxa" w:w="700"/>
            <w:tcMar>
              <w:top w:type="dxa" w:w="70"/>
              <w:left w:type="dxa" w:w="110"/>
              <w:bottom w:type="dxa" w:w="70"/>
              <w:right w:type="dxa" w:w="110"/>
            </w:tcMar>
          </w:tcPr>
          <w:p>
            <w:pPr>
              <w:spacing w:after="0"/>
            </w:pPr>
            <w:r>
              <w:rPr>
                <w:rFonts w:ascii="Aptos" w:cs="Aptos" w:eastAsia="Aptos" w:hAnsi="Aptos"/>
                <w:sz w:val="19"/>
                <w:szCs w:val="19"/>
              </w:rPr>
              <w:t xml:space="preserve"/>
            </w:r>
          </w:p>
        </w:tc>
      </w:tr>
      <w:tr>
        <w:tc>
          <w:tcPr>
            <w:tcW w:type="dxa" w:w="2200"/>
            <w:tcMar>
              <w:top w:type="dxa" w:w="70"/>
              <w:left w:type="dxa" w:w="110"/>
              <w:bottom w:type="dxa" w:w="70"/>
              <w:right w:type="dxa" w:w="110"/>
            </w:tcMar>
          </w:tcPr>
          <w:p>
            <w:pPr>
              <w:spacing w:after="0"/>
            </w:pPr>
            <w:r>
              <w:rPr>
                <w:rFonts w:ascii="Aptos" w:cs="Aptos" w:eastAsia="Aptos" w:hAnsi="Aptos"/>
                <w:b/>
                <w:bCs/>
                <w:sz w:val="19"/>
                <w:szCs w:val="19"/>
              </w:rPr>
              <w:t xml:space="preserve">Strand / Strand Unit</w:t>
            </w:r>
          </w:p>
        </w:tc>
        <w:tc>
          <w:tcPr>
            <w:tcW w:type="dxa" w:w="5700"/>
            <w:tcMar>
              <w:top w:type="dxa" w:w="70"/>
              <w:left w:type="dxa" w:w="110"/>
              <w:bottom w:type="dxa" w:w="70"/>
              <w:right w:type="dxa" w:w="110"/>
            </w:tcMar>
          </w:tcPr>
          <w:p>
            <w:pPr>
              <w:spacing w:after="0"/>
            </w:pPr>
            <w:r>
              <w:rPr>
                <w:rFonts w:ascii="Aptos" w:cs="Aptos" w:eastAsia="Aptos" w:hAnsi="Aptos"/>
                <w:sz w:val="19"/>
                <w:szCs w:val="19"/>
              </w:rPr>
              <w:t xml:space="preserve">Reading; Writing.</w:t>
            </w:r>
          </w:p>
        </w:tc>
        <w:tc>
          <w:tcPr>
            <w:tcW w:type="dxa" w:w="700"/>
            <w:tcMar>
              <w:top w:type="dxa" w:w="70"/>
              <w:left w:type="dxa" w:w="110"/>
              <w:bottom w:type="dxa" w:w="70"/>
              <w:right w:type="dxa" w:w="110"/>
            </w:tcMar>
          </w:tcPr>
          <w:p>
            <w:pPr>
              <w:spacing w:after="0"/>
            </w:pPr>
            <w:r>
              <w:rPr>
                <w:rFonts w:ascii="Aptos" w:cs="Aptos" w:eastAsia="Aptos" w:hAnsi="Aptos"/>
                <w:sz w:val="19"/>
                <w:szCs w:val="19"/>
              </w:rPr>
              <w:t xml:space="preserve"/>
            </w:r>
          </w:p>
        </w:tc>
      </w:tr>
      <w:tr>
        <w:tc>
          <w:tcPr>
            <w:tcW w:type="dxa" w:w="2200"/>
            <w:tcMar>
              <w:top w:type="dxa" w:w="70"/>
              <w:left w:type="dxa" w:w="110"/>
              <w:bottom w:type="dxa" w:w="70"/>
              <w:right w:type="dxa" w:w="110"/>
            </w:tcMar>
          </w:tcPr>
          <w:p>
            <w:pPr>
              <w:spacing w:after="0"/>
            </w:pPr>
            <w:r>
              <w:rPr>
                <w:rFonts w:ascii="Aptos" w:cs="Aptos" w:eastAsia="Aptos" w:hAnsi="Aptos"/>
                <w:b/>
                <w:bCs/>
                <w:sz w:val="19"/>
                <w:szCs w:val="19"/>
              </w:rPr>
              <w:t xml:space="preserve">Issue focus</w:t>
            </w:r>
          </w:p>
        </w:tc>
        <w:tc>
          <w:tcPr>
            <w:tcW w:type="dxa" w:w="5700"/>
            <w:tcMar>
              <w:top w:type="dxa" w:w="70"/>
              <w:left w:type="dxa" w:w="110"/>
              <w:bottom w:type="dxa" w:w="70"/>
              <w:right w:type="dxa" w:w="110"/>
            </w:tcMar>
          </w:tcPr>
          <w:p>
            <w:pPr>
              <w:spacing w:after="0"/>
            </w:pPr>
            <w:r>
              <w:rPr>
                <w:rFonts w:ascii="Aptos" w:cs="Aptos" w:eastAsia="Aptos" w:hAnsi="Aptos"/>
                <w:sz w:val="19"/>
                <w:szCs w:val="19"/>
              </w:rPr>
              <w:t xml:space="preserve">Pupil reviews of The Wild Robot, A Girl Called Justice and The Arctic Railway Assassin, and the invitation for readers to send in reviews of their own.</w:t>
            </w:r>
          </w:p>
        </w:tc>
        <w:tc>
          <w:tcPr>
            <w:tcW w:type="dxa" w:w="700"/>
            <w:tcMar>
              <w:top w:type="dxa" w:w="70"/>
              <w:left w:type="dxa" w:w="110"/>
              <w:bottom w:type="dxa" w:w="70"/>
              <w:right w:type="dxa" w:w="110"/>
            </w:tcMar>
          </w:tcPr>
          <w:p>
            <w:pPr>
              <w:spacing w:after="0"/>
            </w:pPr>
            <w:r>
              <w:rPr>
                <w:rFonts w:ascii="Aptos" w:cs="Aptos" w:eastAsia="Aptos" w:hAnsi="Aptos"/>
                <w:sz w:val="19"/>
                <w:szCs w:val="19"/>
              </w:rPr>
              <w:t xml:space="preserve"/>
            </w:r>
          </w:p>
        </w:tc>
      </w:tr>
      <w:tr>
        <w:tc>
          <w:tcPr>
            <w:tcW w:type="dxa" w:w="2200"/>
            <w:tcMar>
              <w:top w:type="dxa" w:w="70"/>
              <w:left w:type="dxa" w:w="110"/>
              <w:bottom w:type="dxa" w:w="70"/>
              <w:right w:type="dxa" w:w="110"/>
            </w:tcMar>
          </w:tcPr>
          <w:p>
            <w:pPr>
              <w:spacing w:after="0"/>
            </w:pPr>
            <w:r>
              <w:rPr>
                <w:rFonts w:ascii="Aptos" w:cs="Aptos" w:eastAsia="Aptos" w:hAnsi="Aptos"/>
                <w:b/>
                <w:bCs/>
                <w:sz w:val="19"/>
                <w:szCs w:val="19"/>
              </w:rPr>
              <w:t xml:space="preserve">Relevant Stage 4 learning outcomes</w:t>
            </w:r>
          </w:p>
        </w:tc>
        <w:tc>
          <w:tcPr>
            <w:tcW w:type="dxa" w:w="5700"/>
            <w:tcMar>
              <w:top w:type="dxa" w:w="70"/>
              <w:left w:type="dxa" w:w="110"/>
              <w:bottom w:type="dxa" w:w="70"/>
              <w:right w:type="dxa" w:w="110"/>
            </w:tcMar>
          </w:tcPr>
          <w:p>
            <w:pPr>
              <w:spacing w:after="80"/>
              <w:ind w:left="200" w:hanging="200"/>
            </w:pPr>
            <w:r>
              <w:rPr>
                <w:rFonts w:ascii="Aptos" w:cs="Aptos" w:eastAsia="Aptos" w:hAnsi="Aptos"/>
                <w:sz w:val="19"/>
                <w:szCs w:val="19"/>
              </w:rPr>
              <w:t xml:space="preserve">•  Reading, Engagement: develop their interest in and enjoyment of literature and reading in a variety of genres across the curriculum; engage with texts of increasing complexity.</w:t>
            </w:r>
          </w:p>
          <w:p>
            <w:pPr>
              <w:spacing w:after="80"/>
              <w:ind w:left="200" w:hanging="200"/>
            </w:pPr>
            <w:r>
              <w:rPr>
                <w:rFonts w:ascii="Aptos" w:cs="Aptos" w:eastAsia="Aptos" w:hAnsi="Aptos"/>
                <w:sz w:val="19"/>
                <w:szCs w:val="19"/>
              </w:rPr>
              <w:t xml:space="preserve">•  Reading, Motivation and choice: choose, read and critically respond to texts in a range of genres and languages across the curriculum for pleasure, interest and specific purposes.</w:t>
            </w:r>
          </w:p>
          <w:p>
            <w:pPr>
              <w:spacing w:after="0"/>
              <w:ind w:left="200" w:hanging="200"/>
            </w:pPr>
            <w:r>
              <w:rPr>
                <w:rFonts w:ascii="Aptos" w:cs="Aptos" w:eastAsia="Aptos" w:hAnsi="Aptos"/>
                <w:sz w:val="19"/>
                <w:szCs w:val="19"/>
              </w:rPr>
              <w:t xml:space="preserve">•  Writing, Purpose, genre and voice: create text for a wide variety of authentic purposes, demonstrating an increasing understanding of the influence of the audience on their work.</w:t>
            </w:r>
          </w:p>
        </w:tc>
        <w:tc>
          <w:tcPr>
            <w:tcW w:type="dxa" w:w="700"/>
            <w:tcMar>
              <w:top w:type="dxa" w:w="70"/>
              <w:left w:type="dxa" w:w="110"/>
              <w:bottom w:type="dxa" w:w="70"/>
              <w:right w:type="dxa" w:w="110"/>
            </w:tcMar>
          </w:tcPr>
          <w:p>
            <w:pPr>
              <w:spacing w:after="0"/>
            </w:pPr>
            <w:r>
              <w:rPr>
                <w:rFonts w:ascii="Aptos" w:cs="Aptos" w:eastAsia="Aptos" w:hAnsi="Aptos"/>
                <w:sz w:val="19"/>
                <w:szCs w:val="19"/>
              </w:rPr>
              <w:t xml:space="preserve"/>
            </w:r>
          </w:p>
        </w:tc>
      </w:tr>
      <w:tr>
        <w:tc>
          <w:tcPr>
            <w:tcW w:type="dxa" w:w="2200"/>
            <w:tcMar>
              <w:top w:type="dxa" w:w="70"/>
              <w:left w:type="dxa" w:w="110"/>
              <w:bottom w:type="dxa" w:w="70"/>
              <w:right w:type="dxa" w:w="110"/>
            </w:tcMar>
          </w:tcPr>
          <w:p>
            <w:pPr>
              <w:spacing w:after="0"/>
            </w:pPr>
            <w:r>
              <w:rPr>
                <w:rFonts w:ascii="Aptos" w:cs="Aptos" w:eastAsia="Aptos" w:hAnsi="Aptos"/>
                <w:b/>
                <w:bCs/>
                <w:sz w:val="19"/>
                <w:szCs w:val="19"/>
              </w:rPr>
              <w:t xml:space="preserve">Integration</w:t>
            </w:r>
          </w:p>
        </w:tc>
        <w:tc>
          <w:tcPr>
            <w:tcW w:type="dxa" w:w="5700"/>
            <w:tcMar>
              <w:top w:type="dxa" w:w="70"/>
              <w:left w:type="dxa" w:w="110"/>
              <w:bottom w:type="dxa" w:w="70"/>
              <w:right w:type="dxa" w:w="110"/>
            </w:tcMar>
          </w:tcPr>
          <w:p>
            <w:pPr>
              <w:spacing w:after="0"/>
            </w:pPr>
            <w:r>
              <w:rPr>
                <w:rFonts w:ascii="Aptos" w:cs="Aptos" w:eastAsia="Aptos" w:hAnsi="Aptos"/>
                <w:sz w:val="19"/>
                <w:szCs w:val="19"/>
              </w:rPr>
              <w:t xml:space="preserve">The book review template in the Resource Pack. Oral language – recommending a book to the class.</w:t>
            </w:r>
          </w:p>
        </w:tc>
        <w:tc>
          <w:tcPr>
            <w:tcW w:type="dxa" w:w="700"/>
            <w:tcMar>
              <w:top w:type="dxa" w:w="70"/>
              <w:left w:type="dxa" w:w="110"/>
              <w:bottom w:type="dxa" w:w="70"/>
              <w:right w:type="dxa" w:w="110"/>
            </w:tcMar>
          </w:tcPr>
          <w:p>
            <w:pPr>
              <w:spacing w:after="0"/>
            </w:pPr>
            <w:r>
              <w:rPr>
                <w:rFonts w:ascii="Aptos" w:cs="Aptos" w:eastAsia="Aptos" w:hAnsi="Aptos"/>
                <w:sz w:val="19"/>
                <w:szCs w:val="19"/>
              </w:rPr>
              <w:t xml:space="preserve"/>
            </w:r>
          </w:p>
        </w:tc>
      </w:tr>
    </w:tbl>
    <w:p>
      <w:pPr>
        <w:pBdr>
          <w:bottom w:val="single" w:color="999999" w:sz="4" w:space="6"/>
        </w:pBdr>
        <w:spacing w:after="110" w:before="320"/>
      </w:pPr>
      <w:r>
        <w:rPr>
          <w:rFonts w:ascii="Aptos" w:cs="Aptos" w:eastAsia="Aptos" w:hAnsi="Aptos"/>
          <w:b/>
          <w:bCs/>
          <w:sz w:val="23"/>
          <w:szCs w:val="23"/>
        </w:rPr>
        <w:t xml:space="preserve">THE WRITING CORNER (page 27)</w:t>
      </w:r>
    </w:p>
    <w:tbl>
      <w:tblPr>
        <w:tblW w:type="dxa" w:w="8600"/>
        <w:tblBorders>
          <w:top w:val="single" w:color="000000" w:sz="4"/>
          <w:left w:val="single" w:color="000000" w:sz="4"/>
          <w:bottom w:val="single" w:color="000000" w:sz="4"/>
          <w:right w:val="single" w:color="000000" w:sz="4"/>
          <w:insideH w:val="single" w:color="000000" w:sz="4"/>
          <w:insideV w:val="single" w:color="000000" w:sz="4"/>
        </w:tblBorders>
      </w:tblPr>
      <w:tblGrid>
        <w:gridCol w:w="2200"/>
        <w:gridCol w:w="5700"/>
        <w:gridCol w:w="700"/>
      </w:tblGrid>
      <w:tr>
        <w:tc>
          <w:tcPr>
            <w:tcW w:type="dxa" w:w="2200"/>
            <w:tcMar>
              <w:top w:type="dxa" w:w="70"/>
              <w:left w:type="dxa" w:w="110"/>
              <w:bottom w:type="dxa" w:w="70"/>
              <w:right w:type="dxa" w:w="110"/>
            </w:tcMar>
          </w:tcPr>
          <w:p>
            <w:pPr>
              <w:spacing w:after="0"/>
            </w:pPr>
            <w:r>
              <w:rPr>
                <w:rFonts w:ascii="Aptos" w:cs="Aptos" w:eastAsia="Aptos" w:hAnsi="Aptos"/>
                <w:b/>
                <w:bCs/>
                <w:sz w:val="19"/>
                <w:szCs w:val="19"/>
              </w:rPr>
              <w:t xml:space="preserve">Curriculum area / subject</w:t>
            </w:r>
          </w:p>
        </w:tc>
        <w:tc>
          <w:tcPr>
            <w:tcW w:type="dxa" w:w="5700"/>
            <w:tcMar>
              <w:top w:type="dxa" w:w="70"/>
              <w:left w:type="dxa" w:w="110"/>
              <w:bottom w:type="dxa" w:w="70"/>
              <w:right w:type="dxa" w:w="110"/>
            </w:tcMar>
          </w:tcPr>
          <w:p>
            <w:pPr>
              <w:spacing w:after="0"/>
            </w:pPr>
            <w:r>
              <w:rPr>
                <w:rFonts w:ascii="Aptos" w:cs="Aptos" w:eastAsia="Aptos" w:hAnsi="Aptos"/>
                <w:sz w:val="19"/>
                <w:szCs w:val="19"/>
              </w:rPr>
              <w:t xml:space="preserve">Language – English</w:t>
            </w:r>
          </w:p>
        </w:tc>
        <w:tc>
          <w:tcPr>
            <w:tcW w:type="dxa" w:w="700"/>
            <w:tcMar>
              <w:top w:type="dxa" w:w="70"/>
              <w:left w:type="dxa" w:w="110"/>
              <w:bottom w:type="dxa" w:w="70"/>
              <w:right w:type="dxa" w:w="110"/>
            </w:tcMar>
          </w:tcPr>
          <w:p>
            <w:pPr>
              <w:spacing w:after="0"/>
            </w:pPr>
            <w:r>
              <w:rPr>
                <w:rFonts w:ascii="Aptos" w:cs="Aptos" w:eastAsia="Aptos" w:hAnsi="Aptos"/>
                <w:sz w:val="19"/>
                <w:szCs w:val="19"/>
              </w:rPr>
              <w:t xml:space="preserve"/>
            </w:r>
          </w:p>
        </w:tc>
      </w:tr>
      <w:tr>
        <w:tc>
          <w:tcPr>
            <w:tcW w:type="dxa" w:w="2200"/>
            <w:tcMar>
              <w:top w:type="dxa" w:w="70"/>
              <w:left w:type="dxa" w:w="110"/>
              <w:bottom w:type="dxa" w:w="70"/>
              <w:right w:type="dxa" w:w="110"/>
            </w:tcMar>
          </w:tcPr>
          <w:p>
            <w:pPr>
              <w:spacing w:after="0"/>
            </w:pPr>
            <w:r>
              <w:rPr>
                <w:rFonts w:ascii="Aptos" w:cs="Aptos" w:eastAsia="Aptos" w:hAnsi="Aptos"/>
                <w:b/>
                <w:bCs/>
                <w:sz w:val="19"/>
                <w:szCs w:val="19"/>
              </w:rPr>
              <w:t xml:space="preserve">Strand / Strand Unit</w:t>
            </w:r>
          </w:p>
        </w:tc>
        <w:tc>
          <w:tcPr>
            <w:tcW w:type="dxa" w:w="5700"/>
            <w:tcMar>
              <w:top w:type="dxa" w:w="70"/>
              <w:left w:type="dxa" w:w="110"/>
              <w:bottom w:type="dxa" w:w="70"/>
              <w:right w:type="dxa" w:w="110"/>
            </w:tcMar>
          </w:tcPr>
          <w:p>
            <w:pPr>
              <w:spacing w:after="0"/>
            </w:pPr>
            <w:r>
              <w:rPr>
                <w:rFonts w:ascii="Aptos" w:cs="Aptos" w:eastAsia="Aptos" w:hAnsi="Aptos"/>
                <w:sz w:val="19"/>
                <w:szCs w:val="19"/>
              </w:rPr>
              <w:t xml:space="preserve">Writing; Oral language.</w:t>
            </w:r>
          </w:p>
        </w:tc>
        <w:tc>
          <w:tcPr>
            <w:tcW w:type="dxa" w:w="700"/>
            <w:tcMar>
              <w:top w:type="dxa" w:w="70"/>
              <w:left w:type="dxa" w:w="110"/>
              <w:bottom w:type="dxa" w:w="70"/>
              <w:right w:type="dxa" w:w="110"/>
            </w:tcMar>
          </w:tcPr>
          <w:p>
            <w:pPr>
              <w:spacing w:after="0"/>
            </w:pPr>
            <w:r>
              <w:rPr>
                <w:rFonts w:ascii="Aptos" w:cs="Aptos" w:eastAsia="Aptos" w:hAnsi="Aptos"/>
                <w:sz w:val="19"/>
                <w:szCs w:val="19"/>
              </w:rPr>
              <w:t xml:space="preserve"/>
            </w:r>
          </w:p>
        </w:tc>
      </w:tr>
      <w:tr>
        <w:tc>
          <w:tcPr>
            <w:tcW w:type="dxa" w:w="2200"/>
            <w:tcMar>
              <w:top w:type="dxa" w:w="70"/>
              <w:left w:type="dxa" w:w="110"/>
              <w:bottom w:type="dxa" w:w="70"/>
              <w:right w:type="dxa" w:w="110"/>
            </w:tcMar>
          </w:tcPr>
          <w:p>
            <w:pPr>
              <w:spacing w:after="0"/>
            </w:pPr>
            <w:r>
              <w:rPr>
                <w:rFonts w:ascii="Aptos" w:cs="Aptos" w:eastAsia="Aptos" w:hAnsi="Aptos"/>
                <w:b/>
                <w:bCs/>
                <w:sz w:val="19"/>
                <w:szCs w:val="19"/>
              </w:rPr>
              <w:t xml:space="preserve">Issue focus</w:t>
            </w:r>
          </w:p>
        </w:tc>
        <w:tc>
          <w:tcPr>
            <w:tcW w:type="dxa" w:w="5700"/>
            <w:tcMar>
              <w:top w:type="dxa" w:w="70"/>
              <w:left w:type="dxa" w:w="110"/>
              <w:bottom w:type="dxa" w:w="70"/>
              <w:right w:type="dxa" w:w="110"/>
            </w:tcMar>
          </w:tcPr>
          <w:p>
            <w:pPr>
              <w:spacing w:after="0"/>
            </w:pPr>
            <w:r>
              <w:rPr>
                <w:rFonts w:ascii="Aptos" w:cs="Aptos" w:eastAsia="Aptos" w:hAnsi="Aptos"/>
                <w:sz w:val="19"/>
                <w:szCs w:val="19"/>
              </w:rPr>
              <w:t xml:space="preserve">Published pupil writing, and the November challenge, a Science Week special built on a single opening line.</w:t>
            </w:r>
          </w:p>
        </w:tc>
        <w:tc>
          <w:tcPr>
            <w:tcW w:type="dxa" w:w="700"/>
            <w:tcMar>
              <w:top w:type="dxa" w:w="70"/>
              <w:left w:type="dxa" w:w="110"/>
              <w:bottom w:type="dxa" w:w="70"/>
              <w:right w:type="dxa" w:w="110"/>
            </w:tcMar>
          </w:tcPr>
          <w:p>
            <w:pPr>
              <w:spacing w:after="0"/>
            </w:pPr>
            <w:r>
              <w:rPr>
                <w:rFonts w:ascii="Aptos" w:cs="Aptos" w:eastAsia="Aptos" w:hAnsi="Aptos"/>
                <w:sz w:val="19"/>
                <w:szCs w:val="19"/>
              </w:rPr>
              <w:t xml:space="preserve"/>
            </w:r>
          </w:p>
        </w:tc>
      </w:tr>
      <w:tr>
        <w:tc>
          <w:tcPr>
            <w:tcW w:type="dxa" w:w="2200"/>
            <w:tcMar>
              <w:top w:type="dxa" w:w="70"/>
              <w:left w:type="dxa" w:w="110"/>
              <w:bottom w:type="dxa" w:w="70"/>
              <w:right w:type="dxa" w:w="110"/>
            </w:tcMar>
          </w:tcPr>
          <w:p>
            <w:pPr>
              <w:spacing w:after="0"/>
            </w:pPr>
            <w:r>
              <w:rPr>
                <w:rFonts w:ascii="Aptos" w:cs="Aptos" w:eastAsia="Aptos" w:hAnsi="Aptos"/>
                <w:b/>
                <w:bCs/>
                <w:sz w:val="19"/>
                <w:szCs w:val="19"/>
              </w:rPr>
              <w:t xml:space="preserve">Relevant Stage 4 learning outcomes</w:t>
            </w:r>
          </w:p>
        </w:tc>
        <w:tc>
          <w:tcPr>
            <w:tcW w:type="dxa" w:w="5700"/>
            <w:tcMar>
              <w:top w:type="dxa" w:w="70"/>
              <w:left w:type="dxa" w:w="110"/>
              <w:bottom w:type="dxa" w:w="70"/>
              <w:right w:type="dxa" w:w="110"/>
            </w:tcMar>
          </w:tcPr>
          <w:p>
            <w:pPr>
              <w:spacing w:after="80"/>
              <w:ind w:left="200" w:hanging="200"/>
            </w:pPr>
            <w:r>
              <w:rPr>
                <w:rFonts w:ascii="Aptos" w:cs="Aptos" w:eastAsia="Aptos" w:hAnsi="Aptos"/>
                <w:sz w:val="19"/>
                <w:szCs w:val="19"/>
              </w:rPr>
              <w:t xml:space="preserve">•  Writing, Writing process and creating text: identify and evaluate skills and strategies associated with writing as a process and use them to create texts independently and/or collaboratively across a range of genres, in other languages where appropriate and across the curriculum for a variety of purposes and audiences.</w:t>
            </w:r>
          </w:p>
          <w:p>
            <w:pPr>
              <w:spacing w:after="80"/>
              <w:ind w:left="200" w:hanging="200"/>
            </w:pPr>
            <w:r>
              <w:rPr>
                <w:rFonts w:ascii="Aptos" w:cs="Aptos" w:eastAsia="Aptos" w:hAnsi="Aptos"/>
                <w:sz w:val="19"/>
                <w:szCs w:val="19"/>
              </w:rPr>
              <w:t xml:space="preserve">•  Writing, Engagement: engage positively and purposefully while creating text in a variety of genres, other languages where appropriate and across the curriculum; use writing as a tool to clarify and structure thought and to express individuality.</w:t>
            </w:r>
          </w:p>
          <w:p>
            <w:pPr>
              <w:spacing w:after="0"/>
              <w:ind w:left="200" w:hanging="200"/>
            </w:pPr>
            <w:r>
              <w:rPr>
                <w:rFonts w:ascii="Aptos" w:cs="Aptos" w:eastAsia="Aptos" w:hAnsi="Aptos"/>
                <w:sz w:val="19"/>
                <w:szCs w:val="19"/>
              </w:rPr>
              <w:t xml:space="preserve">•  Writing, Response and author’s intent: examine and critically reflect on their own intent and influences as authors; discuss and evaluate others’ interpretation of their texts.</w:t>
            </w:r>
          </w:p>
        </w:tc>
        <w:tc>
          <w:tcPr>
            <w:tcW w:type="dxa" w:w="700"/>
            <w:tcMar>
              <w:top w:type="dxa" w:w="70"/>
              <w:left w:type="dxa" w:w="110"/>
              <w:bottom w:type="dxa" w:w="70"/>
              <w:right w:type="dxa" w:w="110"/>
            </w:tcMar>
          </w:tcPr>
          <w:p>
            <w:pPr>
              <w:spacing w:after="0"/>
            </w:pPr>
            <w:r>
              <w:rPr>
                <w:rFonts w:ascii="Aptos" w:cs="Aptos" w:eastAsia="Aptos" w:hAnsi="Aptos"/>
                <w:sz w:val="19"/>
                <w:szCs w:val="19"/>
              </w:rPr>
              <w:t xml:space="preserve"/>
            </w:r>
          </w:p>
        </w:tc>
      </w:tr>
      <w:tr>
        <w:tc>
          <w:tcPr>
            <w:tcW w:type="dxa" w:w="2200"/>
            <w:tcMar>
              <w:top w:type="dxa" w:w="70"/>
              <w:left w:type="dxa" w:w="110"/>
              <w:bottom w:type="dxa" w:w="70"/>
              <w:right w:type="dxa" w:w="110"/>
            </w:tcMar>
          </w:tcPr>
          <w:p>
            <w:pPr>
              <w:spacing w:after="0"/>
            </w:pPr>
            <w:r>
              <w:rPr>
                <w:rFonts w:ascii="Aptos" w:cs="Aptos" w:eastAsia="Aptos" w:hAnsi="Aptos"/>
                <w:b/>
                <w:bCs/>
                <w:sz w:val="19"/>
                <w:szCs w:val="19"/>
              </w:rPr>
              <w:t xml:space="preserve">Integration</w:t>
            </w:r>
          </w:p>
        </w:tc>
        <w:tc>
          <w:tcPr>
            <w:tcW w:type="dxa" w:w="5700"/>
            <w:tcMar>
              <w:top w:type="dxa" w:w="70"/>
              <w:left w:type="dxa" w:w="110"/>
              <w:bottom w:type="dxa" w:w="70"/>
              <w:right w:type="dxa" w:w="110"/>
            </w:tcMar>
          </w:tcPr>
          <w:p>
            <w:pPr>
              <w:spacing w:after="0"/>
            </w:pPr>
            <w:r>
              <w:rPr>
                <w:rFonts w:ascii="Aptos" w:cs="Aptos" w:eastAsia="Aptos" w:hAnsi="Aptos"/>
                <w:sz w:val="19"/>
                <w:szCs w:val="19"/>
              </w:rPr>
              <w:t xml:space="preserve">The Writing Corner template in the Resource Pack. Reading – noticing the same techniques at work elsewhere in the issue.</w:t>
            </w:r>
          </w:p>
        </w:tc>
        <w:tc>
          <w:tcPr>
            <w:tcW w:type="dxa" w:w="700"/>
            <w:tcMar>
              <w:top w:type="dxa" w:w="70"/>
              <w:left w:type="dxa" w:w="110"/>
              <w:bottom w:type="dxa" w:w="70"/>
              <w:right w:type="dxa" w:w="110"/>
            </w:tcMar>
          </w:tcPr>
          <w:p>
            <w:pPr>
              <w:spacing w:after="0"/>
            </w:pPr>
            <w:r>
              <w:rPr>
                <w:rFonts w:ascii="Aptos" w:cs="Aptos" w:eastAsia="Aptos" w:hAnsi="Aptos"/>
                <w:sz w:val="19"/>
                <w:szCs w:val="19"/>
              </w:rPr>
              <w:t xml:space="preserve"/>
            </w:r>
          </w:p>
        </w:tc>
      </w:tr>
    </w:tbl>
    <w:p>
      <w:pPr>
        <w:pBdr>
          <w:bottom w:val="single" w:color="999999" w:sz="4" w:space="6"/>
        </w:pBdr>
        <w:spacing w:after="110" w:before="320"/>
      </w:pPr>
      <w:r>
        <w:rPr>
          <w:rFonts w:ascii="Aptos" w:cs="Aptos" w:eastAsia="Aptos" w:hAnsi="Aptos"/>
          <w:b/>
          <w:bCs/>
          <w:sz w:val="23"/>
          <w:szCs w:val="23"/>
        </w:rPr>
        <w:t xml:space="preserve">PLANET YOU – IT HELPS TO TALK (page 28)</w:t>
      </w:r>
    </w:p>
    <w:tbl>
      <w:tblPr>
        <w:tblW w:type="dxa" w:w="8600"/>
        <w:tblBorders>
          <w:top w:val="single" w:color="000000" w:sz="4"/>
          <w:left w:val="single" w:color="000000" w:sz="4"/>
          <w:bottom w:val="single" w:color="000000" w:sz="4"/>
          <w:right w:val="single" w:color="000000" w:sz="4"/>
          <w:insideH w:val="single" w:color="000000" w:sz="4"/>
          <w:insideV w:val="single" w:color="000000" w:sz="4"/>
        </w:tblBorders>
      </w:tblPr>
      <w:tblGrid>
        <w:gridCol w:w="2200"/>
        <w:gridCol w:w="5700"/>
        <w:gridCol w:w="700"/>
      </w:tblGrid>
      <w:tr>
        <w:tc>
          <w:tcPr>
            <w:tcW w:type="dxa" w:w="2200"/>
            <w:tcMar>
              <w:top w:type="dxa" w:w="70"/>
              <w:left w:type="dxa" w:w="110"/>
              <w:bottom w:type="dxa" w:w="70"/>
              <w:right w:type="dxa" w:w="110"/>
            </w:tcMar>
          </w:tcPr>
          <w:p>
            <w:pPr>
              <w:spacing w:after="0"/>
            </w:pPr>
            <w:r>
              <w:rPr>
                <w:rFonts w:ascii="Aptos" w:cs="Aptos" w:eastAsia="Aptos" w:hAnsi="Aptos"/>
                <w:b/>
                <w:bCs/>
                <w:sz w:val="19"/>
                <w:szCs w:val="19"/>
              </w:rPr>
              <w:t xml:space="preserve">Curriculum area / subject</w:t>
            </w:r>
          </w:p>
        </w:tc>
        <w:tc>
          <w:tcPr>
            <w:tcW w:type="dxa" w:w="5700"/>
            <w:tcMar>
              <w:top w:type="dxa" w:w="70"/>
              <w:left w:type="dxa" w:w="110"/>
              <w:bottom w:type="dxa" w:w="70"/>
              <w:right w:type="dxa" w:w="110"/>
            </w:tcMar>
          </w:tcPr>
          <w:p>
            <w:pPr>
              <w:spacing w:after="0"/>
            </w:pPr>
            <w:r>
              <w:rPr>
                <w:rFonts w:ascii="Aptos" w:cs="Aptos" w:eastAsia="Aptos" w:hAnsi="Aptos"/>
                <w:sz w:val="19"/>
                <w:szCs w:val="19"/>
              </w:rPr>
              <w:t xml:space="preserve">Wellbeing – SPHE</w:t>
            </w:r>
          </w:p>
        </w:tc>
        <w:tc>
          <w:tcPr>
            <w:tcW w:type="dxa" w:w="700"/>
            <w:tcMar>
              <w:top w:type="dxa" w:w="70"/>
              <w:left w:type="dxa" w:w="110"/>
              <w:bottom w:type="dxa" w:w="70"/>
              <w:right w:type="dxa" w:w="110"/>
            </w:tcMar>
          </w:tcPr>
          <w:p>
            <w:pPr>
              <w:spacing w:after="0"/>
            </w:pPr>
            <w:r>
              <w:rPr>
                <w:rFonts w:ascii="Aptos" w:cs="Aptos" w:eastAsia="Aptos" w:hAnsi="Aptos"/>
                <w:sz w:val="19"/>
                <w:szCs w:val="19"/>
              </w:rPr>
              <w:t xml:space="preserve"/>
            </w:r>
          </w:p>
        </w:tc>
      </w:tr>
      <w:tr>
        <w:tc>
          <w:tcPr>
            <w:tcW w:type="dxa" w:w="2200"/>
            <w:tcMar>
              <w:top w:type="dxa" w:w="70"/>
              <w:left w:type="dxa" w:w="110"/>
              <w:bottom w:type="dxa" w:w="70"/>
              <w:right w:type="dxa" w:w="110"/>
            </w:tcMar>
          </w:tcPr>
          <w:p>
            <w:pPr>
              <w:spacing w:after="0"/>
            </w:pPr>
            <w:r>
              <w:rPr>
                <w:rFonts w:ascii="Aptos" w:cs="Aptos" w:eastAsia="Aptos" w:hAnsi="Aptos"/>
                <w:b/>
                <w:bCs/>
                <w:sz w:val="19"/>
                <w:szCs w:val="19"/>
              </w:rPr>
              <w:t xml:space="preserve">Strand / Strand Unit</w:t>
            </w:r>
          </w:p>
        </w:tc>
        <w:tc>
          <w:tcPr>
            <w:tcW w:type="dxa" w:w="5700"/>
            <w:tcMar>
              <w:top w:type="dxa" w:w="70"/>
              <w:left w:type="dxa" w:w="110"/>
              <w:bottom w:type="dxa" w:w="70"/>
              <w:right w:type="dxa" w:w="110"/>
            </w:tcMar>
          </w:tcPr>
          <w:p>
            <w:pPr>
              <w:spacing w:after="0"/>
            </w:pPr>
            <w:r>
              <w:rPr>
                <w:rFonts w:ascii="Aptos" w:cs="Aptos" w:eastAsia="Aptos" w:hAnsi="Aptos"/>
                <w:sz w:val="19"/>
                <w:szCs w:val="19"/>
              </w:rPr>
              <w:t xml:space="preserve">Emotional and relational education; Health education.</w:t>
            </w:r>
          </w:p>
        </w:tc>
        <w:tc>
          <w:tcPr>
            <w:tcW w:type="dxa" w:w="700"/>
            <w:tcMar>
              <w:top w:type="dxa" w:w="70"/>
              <w:left w:type="dxa" w:w="110"/>
              <w:bottom w:type="dxa" w:w="70"/>
              <w:right w:type="dxa" w:w="110"/>
            </w:tcMar>
          </w:tcPr>
          <w:p>
            <w:pPr>
              <w:spacing w:after="0"/>
            </w:pPr>
            <w:r>
              <w:rPr>
                <w:rFonts w:ascii="Aptos" w:cs="Aptos" w:eastAsia="Aptos" w:hAnsi="Aptos"/>
                <w:sz w:val="19"/>
                <w:szCs w:val="19"/>
              </w:rPr>
              <w:t xml:space="preserve"/>
            </w:r>
          </w:p>
        </w:tc>
      </w:tr>
      <w:tr>
        <w:tc>
          <w:tcPr>
            <w:tcW w:type="dxa" w:w="2200"/>
            <w:tcMar>
              <w:top w:type="dxa" w:w="70"/>
              <w:left w:type="dxa" w:w="110"/>
              <w:bottom w:type="dxa" w:w="70"/>
              <w:right w:type="dxa" w:w="110"/>
            </w:tcMar>
          </w:tcPr>
          <w:p>
            <w:pPr>
              <w:spacing w:after="0"/>
            </w:pPr>
            <w:r>
              <w:rPr>
                <w:rFonts w:ascii="Aptos" w:cs="Aptos" w:eastAsia="Aptos" w:hAnsi="Aptos"/>
                <w:b/>
                <w:bCs/>
                <w:sz w:val="19"/>
                <w:szCs w:val="19"/>
              </w:rPr>
              <w:t xml:space="preserve">Issue focus</w:t>
            </w:r>
          </w:p>
        </w:tc>
        <w:tc>
          <w:tcPr>
            <w:tcW w:type="dxa" w:w="5700"/>
            <w:tcMar>
              <w:top w:type="dxa" w:w="70"/>
              <w:left w:type="dxa" w:w="110"/>
              <w:bottom w:type="dxa" w:w="70"/>
              <w:right w:type="dxa" w:w="110"/>
            </w:tcMar>
          </w:tcPr>
          <w:p>
            <w:pPr>
              <w:spacing w:after="0"/>
            </w:pPr>
            <w:r>
              <w:rPr>
                <w:rFonts w:ascii="Aptos" w:cs="Aptos" w:eastAsia="Aptos" w:hAnsi="Aptos"/>
                <w:sz w:val="19"/>
                <w:szCs w:val="19"/>
              </w:rPr>
              <w:t xml:space="preserve">World Mental Health Day on October 10, this year’s theme of lived experiences being heard, choosing someone to tell, and listening as a skill that can be practised.</w:t>
            </w:r>
          </w:p>
        </w:tc>
        <w:tc>
          <w:tcPr>
            <w:tcW w:type="dxa" w:w="700"/>
            <w:tcMar>
              <w:top w:type="dxa" w:w="70"/>
              <w:left w:type="dxa" w:w="110"/>
              <w:bottom w:type="dxa" w:w="70"/>
              <w:right w:type="dxa" w:w="110"/>
            </w:tcMar>
          </w:tcPr>
          <w:p>
            <w:pPr>
              <w:spacing w:after="0"/>
            </w:pPr>
            <w:r>
              <w:rPr>
                <w:rFonts w:ascii="Aptos" w:cs="Aptos" w:eastAsia="Aptos" w:hAnsi="Aptos"/>
                <w:sz w:val="19"/>
                <w:szCs w:val="19"/>
              </w:rPr>
              <w:t xml:space="preserve"/>
            </w:r>
          </w:p>
        </w:tc>
      </w:tr>
      <w:tr>
        <w:tc>
          <w:tcPr>
            <w:tcW w:type="dxa" w:w="2200"/>
            <w:tcMar>
              <w:top w:type="dxa" w:w="70"/>
              <w:left w:type="dxa" w:w="110"/>
              <w:bottom w:type="dxa" w:w="70"/>
              <w:right w:type="dxa" w:w="110"/>
            </w:tcMar>
          </w:tcPr>
          <w:p>
            <w:pPr>
              <w:spacing w:after="0"/>
            </w:pPr>
            <w:r>
              <w:rPr>
                <w:rFonts w:ascii="Aptos" w:cs="Aptos" w:eastAsia="Aptos" w:hAnsi="Aptos"/>
                <w:b/>
                <w:bCs/>
                <w:sz w:val="19"/>
                <w:szCs w:val="19"/>
              </w:rPr>
              <w:t xml:space="preserve">Relevant Stage 4 learning outcomes</w:t>
            </w:r>
          </w:p>
        </w:tc>
        <w:tc>
          <w:tcPr>
            <w:tcW w:type="dxa" w:w="5700"/>
            <w:tcMar>
              <w:top w:type="dxa" w:w="70"/>
              <w:left w:type="dxa" w:w="110"/>
              <w:bottom w:type="dxa" w:w="70"/>
              <w:right w:type="dxa" w:w="110"/>
            </w:tcMar>
          </w:tcPr>
          <w:p>
            <w:pPr>
              <w:spacing w:after="80"/>
              <w:ind w:left="200" w:hanging="200"/>
            </w:pPr>
            <w:r>
              <w:rPr>
                <w:rFonts w:ascii="Aptos" w:cs="Aptos" w:eastAsia="Aptos" w:hAnsi="Aptos"/>
                <w:sz w:val="19"/>
                <w:szCs w:val="19"/>
              </w:rPr>
              <w:t xml:space="preserve">•  Wellbeing, Emotional and relational education: engage in self-reflection to deepen awareness of personal emotional responses, beginning to recognise patterns.</w:t>
            </w:r>
          </w:p>
          <w:p>
            <w:pPr>
              <w:spacing w:after="80"/>
              <w:ind w:left="200" w:hanging="200"/>
            </w:pPr>
            <w:r>
              <w:rPr>
                <w:rFonts w:ascii="Aptos" w:cs="Aptos" w:eastAsia="Aptos" w:hAnsi="Aptos"/>
                <w:sz w:val="19"/>
                <w:szCs w:val="19"/>
              </w:rPr>
              <w:t xml:space="preserve">•  Wellbeing, Emotional and relational education: apply a range of strategies to nurture their emotional wellbeing and cope with day-to-day stresses of life and employ empathetic skills in response to peers experiencing emotional challenges, when appropriate.</w:t>
            </w:r>
          </w:p>
          <w:p>
            <w:pPr>
              <w:spacing w:after="0"/>
              <w:ind w:left="200" w:hanging="200"/>
            </w:pPr>
            <w:r>
              <w:rPr>
                <w:rFonts w:ascii="Aptos" w:cs="Aptos" w:eastAsia="Aptos" w:hAnsi="Aptos"/>
                <w:sz w:val="19"/>
                <w:szCs w:val="19"/>
              </w:rPr>
              <w:t xml:space="preserve">•  Wellbeing, Emotional and relational education: explore the link between thoughts, emotions and feelings, and behaviours.</w:t>
            </w:r>
          </w:p>
        </w:tc>
        <w:tc>
          <w:tcPr>
            <w:tcW w:type="dxa" w:w="700"/>
            <w:tcMar>
              <w:top w:type="dxa" w:w="70"/>
              <w:left w:type="dxa" w:w="110"/>
              <w:bottom w:type="dxa" w:w="70"/>
              <w:right w:type="dxa" w:w="110"/>
            </w:tcMar>
          </w:tcPr>
          <w:p>
            <w:pPr>
              <w:spacing w:after="0"/>
            </w:pPr>
            <w:r>
              <w:rPr>
                <w:rFonts w:ascii="Aptos" w:cs="Aptos" w:eastAsia="Aptos" w:hAnsi="Aptos"/>
                <w:sz w:val="19"/>
                <w:szCs w:val="19"/>
              </w:rPr>
              <w:t xml:space="preserve"/>
            </w:r>
          </w:p>
        </w:tc>
      </w:tr>
      <w:tr>
        <w:tc>
          <w:tcPr>
            <w:tcW w:type="dxa" w:w="2200"/>
            <w:tcMar>
              <w:top w:type="dxa" w:w="70"/>
              <w:left w:type="dxa" w:w="110"/>
              <w:bottom w:type="dxa" w:w="70"/>
              <w:right w:type="dxa" w:w="110"/>
            </w:tcMar>
          </w:tcPr>
          <w:p>
            <w:pPr>
              <w:spacing w:after="0"/>
            </w:pPr>
            <w:r>
              <w:rPr>
                <w:rFonts w:ascii="Aptos" w:cs="Aptos" w:eastAsia="Aptos" w:hAnsi="Aptos"/>
                <w:b/>
                <w:bCs/>
                <w:sz w:val="19"/>
                <w:szCs w:val="19"/>
              </w:rPr>
              <w:t xml:space="preserve">Integration</w:t>
            </w:r>
          </w:p>
        </w:tc>
        <w:tc>
          <w:tcPr>
            <w:tcW w:type="dxa" w:w="5700"/>
            <w:tcMar>
              <w:top w:type="dxa" w:w="70"/>
              <w:left w:type="dxa" w:w="110"/>
              <w:bottom w:type="dxa" w:w="70"/>
              <w:right w:type="dxa" w:w="110"/>
            </w:tcMar>
          </w:tcPr>
          <w:p>
            <w:pPr>
              <w:spacing w:after="0"/>
            </w:pPr>
            <w:r>
              <w:rPr>
                <w:rFonts w:ascii="Aptos" w:cs="Aptos" w:eastAsia="Aptos" w:hAnsi="Aptos"/>
                <w:sz w:val="19"/>
                <w:szCs w:val="19"/>
              </w:rPr>
              <w:t xml:space="preserve">Oral language – active listening and turn-taking. Whole-school – friendship and wellbeing policy.</w:t>
            </w:r>
          </w:p>
        </w:tc>
        <w:tc>
          <w:tcPr>
            <w:tcW w:type="dxa" w:w="700"/>
            <w:tcMar>
              <w:top w:type="dxa" w:w="70"/>
              <w:left w:type="dxa" w:w="110"/>
              <w:bottom w:type="dxa" w:w="70"/>
              <w:right w:type="dxa" w:w="110"/>
            </w:tcMar>
          </w:tcPr>
          <w:p>
            <w:pPr>
              <w:spacing w:after="0"/>
            </w:pPr>
            <w:r>
              <w:rPr>
                <w:rFonts w:ascii="Aptos" w:cs="Aptos" w:eastAsia="Aptos" w:hAnsi="Aptos"/>
                <w:sz w:val="19"/>
                <w:szCs w:val="19"/>
              </w:rPr>
              <w:t xml:space="preserve"/>
            </w:r>
          </w:p>
        </w:tc>
      </w:tr>
    </w:tbl>
    <w:p>
      <w:pPr>
        <w:pBdr>
          <w:bottom w:val="single" w:color="999999" w:sz="4" w:space="6"/>
        </w:pBdr>
        <w:spacing w:after="110" w:before="320"/>
      </w:pPr>
      <w:r>
        <w:rPr>
          <w:rFonts w:ascii="Aptos" w:cs="Aptos" w:eastAsia="Aptos" w:hAnsi="Aptos"/>
          <w:b/>
          <w:bCs/>
          <w:sz w:val="23"/>
          <w:szCs w:val="23"/>
        </w:rPr>
        <w:t xml:space="preserve">PLANET SPORT AND PLANET SOCCER (pages 29 to 31)</w:t>
      </w:r>
    </w:p>
    <w:tbl>
      <w:tblPr>
        <w:tblW w:type="dxa" w:w="8600"/>
        <w:tblBorders>
          <w:top w:val="single" w:color="000000" w:sz="4"/>
          <w:left w:val="single" w:color="000000" w:sz="4"/>
          <w:bottom w:val="single" w:color="000000" w:sz="4"/>
          <w:right w:val="single" w:color="000000" w:sz="4"/>
          <w:insideH w:val="single" w:color="000000" w:sz="4"/>
          <w:insideV w:val="single" w:color="000000" w:sz="4"/>
        </w:tblBorders>
      </w:tblPr>
      <w:tblGrid>
        <w:gridCol w:w="2200"/>
        <w:gridCol w:w="5700"/>
        <w:gridCol w:w="700"/>
      </w:tblGrid>
      <w:tr>
        <w:tc>
          <w:tcPr>
            <w:tcW w:type="dxa" w:w="2200"/>
            <w:tcMar>
              <w:top w:type="dxa" w:w="70"/>
              <w:left w:type="dxa" w:w="110"/>
              <w:bottom w:type="dxa" w:w="70"/>
              <w:right w:type="dxa" w:w="110"/>
            </w:tcMar>
          </w:tcPr>
          <w:p>
            <w:pPr>
              <w:spacing w:after="0"/>
            </w:pPr>
            <w:r>
              <w:rPr>
                <w:rFonts w:ascii="Aptos" w:cs="Aptos" w:eastAsia="Aptos" w:hAnsi="Aptos"/>
                <w:b/>
                <w:bCs/>
                <w:sz w:val="19"/>
                <w:szCs w:val="19"/>
              </w:rPr>
              <w:t xml:space="preserve">Curriculum area / subject</w:t>
            </w:r>
          </w:p>
        </w:tc>
        <w:tc>
          <w:tcPr>
            <w:tcW w:type="dxa" w:w="5700"/>
            <w:tcMar>
              <w:top w:type="dxa" w:w="70"/>
              <w:left w:type="dxa" w:w="110"/>
              <w:bottom w:type="dxa" w:w="70"/>
              <w:right w:type="dxa" w:w="110"/>
            </w:tcMar>
          </w:tcPr>
          <w:p>
            <w:pPr>
              <w:spacing w:after="0"/>
            </w:pPr>
            <w:r>
              <w:rPr>
                <w:rFonts w:ascii="Aptos" w:cs="Aptos" w:eastAsia="Aptos" w:hAnsi="Aptos"/>
                <w:sz w:val="19"/>
                <w:szCs w:val="19"/>
              </w:rPr>
              <w:t xml:space="preserve">Wellbeing – Physical Education; STEM Education – Mathematics</w:t>
            </w:r>
          </w:p>
        </w:tc>
        <w:tc>
          <w:tcPr>
            <w:tcW w:type="dxa" w:w="700"/>
            <w:tcMar>
              <w:top w:type="dxa" w:w="70"/>
              <w:left w:type="dxa" w:w="110"/>
              <w:bottom w:type="dxa" w:w="70"/>
              <w:right w:type="dxa" w:w="110"/>
            </w:tcMar>
          </w:tcPr>
          <w:p>
            <w:pPr>
              <w:spacing w:after="0"/>
            </w:pPr>
            <w:r>
              <w:rPr>
                <w:rFonts w:ascii="Aptos" w:cs="Aptos" w:eastAsia="Aptos" w:hAnsi="Aptos"/>
                <w:sz w:val="19"/>
                <w:szCs w:val="19"/>
              </w:rPr>
              <w:t xml:space="preserve"/>
            </w:r>
          </w:p>
        </w:tc>
      </w:tr>
      <w:tr>
        <w:tc>
          <w:tcPr>
            <w:tcW w:type="dxa" w:w="2200"/>
            <w:tcMar>
              <w:top w:type="dxa" w:w="70"/>
              <w:left w:type="dxa" w:w="110"/>
              <w:bottom w:type="dxa" w:w="70"/>
              <w:right w:type="dxa" w:w="110"/>
            </w:tcMar>
          </w:tcPr>
          <w:p>
            <w:pPr>
              <w:spacing w:after="0"/>
            </w:pPr>
            <w:r>
              <w:rPr>
                <w:rFonts w:ascii="Aptos" w:cs="Aptos" w:eastAsia="Aptos" w:hAnsi="Aptos"/>
                <w:b/>
                <w:bCs/>
                <w:sz w:val="19"/>
                <w:szCs w:val="19"/>
              </w:rPr>
              <w:t xml:space="preserve">Strand / Strand Unit</w:t>
            </w:r>
          </w:p>
        </w:tc>
        <w:tc>
          <w:tcPr>
            <w:tcW w:type="dxa" w:w="5700"/>
            <w:tcMar>
              <w:top w:type="dxa" w:w="70"/>
              <w:left w:type="dxa" w:w="110"/>
              <w:bottom w:type="dxa" w:w="70"/>
              <w:right w:type="dxa" w:w="110"/>
            </w:tcMar>
          </w:tcPr>
          <w:p>
            <w:pPr>
              <w:spacing w:after="0"/>
            </w:pPr>
            <w:r>
              <w:rPr>
                <w:rFonts w:ascii="Aptos" w:cs="Aptos" w:eastAsia="Aptos" w:hAnsi="Aptos"/>
                <w:sz w:val="19"/>
                <w:szCs w:val="19"/>
              </w:rPr>
              <w:t xml:space="preserve">Participation; Movement competence. Mathematics: Number; Data and chance.</w:t>
            </w:r>
          </w:p>
        </w:tc>
        <w:tc>
          <w:tcPr>
            <w:tcW w:type="dxa" w:w="700"/>
            <w:tcMar>
              <w:top w:type="dxa" w:w="70"/>
              <w:left w:type="dxa" w:w="110"/>
              <w:bottom w:type="dxa" w:w="70"/>
              <w:right w:type="dxa" w:w="110"/>
            </w:tcMar>
          </w:tcPr>
          <w:p>
            <w:pPr>
              <w:spacing w:after="0"/>
            </w:pPr>
            <w:r>
              <w:rPr>
                <w:rFonts w:ascii="Aptos" w:cs="Aptos" w:eastAsia="Aptos" w:hAnsi="Aptos"/>
                <w:sz w:val="19"/>
                <w:szCs w:val="19"/>
              </w:rPr>
              <w:t xml:space="preserve"/>
            </w:r>
          </w:p>
        </w:tc>
      </w:tr>
      <w:tr>
        <w:tc>
          <w:tcPr>
            <w:tcW w:type="dxa" w:w="2200"/>
            <w:tcMar>
              <w:top w:type="dxa" w:w="70"/>
              <w:left w:type="dxa" w:w="110"/>
              <w:bottom w:type="dxa" w:w="70"/>
              <w:right w:type="dxa" w:w="110"/>
            </w:tcMar>
          </w:tcPr>
          <w:p>
            <w:pPr>
              <w:spacing w:after="0"/>
            </w:pPr>
            <w:r>
              <w:rPr>
                <w:rFonts w:ascii="Aptos" w:cs="Aptos" w:eastAsia="Aptos" w:hAnsi="Aptos"/>
                <w:b/>
                <w:bCs/>
                <w:sz w:val="19"/>
                <w:szCs w:val="19"/>
              </w:rPr>
              <w:t xml:space="preserve">Issue focus</w:t>
            </w:r>
          </w:p>
        </w:tc>
        <w:tc>
          <w:tcPr>
            <w:tcW w:type="dxa" w:w="5700"/>
            <w:tcMar>
              <w:top w:type="dxa" w:w="70"/>
              <w:left w:type="dxa" w:w="110"/>
              <w:bottom w:type="dxa" w:w="70"/>
              <w:right w:type="dxa" w:w="110"/>
            </w:tcMar>
          </w:tcPr>
          <w:p>
            <w:pPr>
              <w:spacing w:after="0"/>
            </w:pPr>
            <w:r>
              <w:rPr>
                <w:rFonts w:ascii="Aptos" w:cs="Aptos" w:eastAsia="Aptos" w:hAnsi="Aptos"/>
                <w:sz w:val="19"/>
                <w:szCs w:val="19"/>
              </w:rPr>
              <w:t xml:space="preserve">October’s interprovincial derbies and the Champions Cup, the new rules being trialled in the Ryan and Fitzgibbon Cups, Leona Maguire’s Solheim Cup record, Katie Taylor’s farewell, the O’Rourke sisters’ European golds, and the Soccer Maths Time quiz for Maths Week.</w:t>
            </w:r>
          </w:p>
        </w:tc>
        <w:tc>
          <w:tcPr>
            <w:tcW w:type="dxa" w:w="700"/>
            <w:tcMar>
              <w:top w:type="dxa" w:w="70"/>
              <w:left w:type="dxa" w:w="110"/>
              <w:bottom w:type="dxa" w:w="70"/>
              <w:right w:type="dxa" w:w="110"/>
            </w:tcMar>
          </w:tcPr>
          <w:p>
            <w:pPr>
              <w:spacing w:after="0"/>
            </w:pPr>
            <w:r>
              <w:rPr>
                <w:rFonts w:ascii="Aptos" w:cs="Aptos" w:eastAsia="Aptos" w:hAnsi="Aptos"/>
                <w:sz w:val="19"/>
                <w:szCs w:val="19"/>
              </w:rPr>
              <w:t xml:space="preserve"/>
            </w:r>
          </w:p>
        </w:tc>
      </w:tr>
      <w:tr>
        <w:tc>
          <w:tcPr>
            <w:tcW w:type="dxa" w:w="2200"/>
            <w:tcMar>
              <w:top w:type="dxa" w:w="70"/>
              <w:left w:type="dxa" w:w="110"/>
              <w:bottom w:type="dxa" w:w="70"/>
              <w:right w:type="dxa" w:w="110"/>
            </w:tcMar>
          </w:tcPr>
          <w:p>
            <w:pPr>
              <w:spacing w:after="0"/>
            </w:pPr>
            <w:r>
              <w:rPr>
                <w:rFonts w:ascii="Aptos" w:cs="Aptos" w:eastAsia="Aptos" w:hAnsi="Aptos"/>
                <w:b/>
                <w:bCs/>
                <w:sz w:val="19"/>
                <w:szCs w:val="19"/>
              </w:rPr>
              <w:t xml:space="preserve">Relevant Stage 4 learning outcomes</w:t>
            </w:r>
          </w:p>
        </w:tc>
        <w:tc>
          <w:tcPr>
            <w:tcW w:type="dxa" w:w="5700"/>
            <w:tcMar>
              <w:top w:type="dxa" w:w="70"/>
              <w:left w:type="dxa" w:w="110"/>
              <w:bottom w:type="dxa" w:w="70"/>
              <w:right w:type="dxa" w:w="110"/>
            </w:tcMar>
          </w:tcPr>
          <w:p>
            <w:pPr>
              <w:spacing w:after="80"/>
              <w:ind w:left="200" w:hanging="200"/>
            </w:pPr>
            <w:r>
              <w:rPr>
                <w:rFonts w:ascii="Aptos" w:cs="Aptos" w:eastAsia="Aptos" w:hAnsi="Aptos"/>
                <w:sz w:val="19"/>
                <w:szCs w:val="19"/>
              </w:rPr>
              <w:t xml:space="preserve">•  Wellbeing, Community and belonging: embody key features of fair play and appreciate its importance for participation, rules and etiquette in physical activities and/or sports.</w:t>
            </w:r>
          </w:p>
          <w:p>
            <w:pPr>
              <w:spacing w:after="80"/>
              <w:ind w:left="200" w:hanging="200"/>
            </w:pPr>
            <w:r>
              <w:rPr>
                <w:rFonts w:ascii="Aptos" w:cs="Aptos" w:eastAsia="Aptos" w:hAnsi="Aptos"/>
                <w:sz w:val="19"/>
                <w:szCs w:val="19"/>
              </w:rPr>
              <w:t xml:space="preserve">•  Mathematics, Number: build upon, select and make use of a range of operation strategies; explore (model, compare and convert) the relationships between fractions, decimals and percentages.</w:t>
            </w:r>
          </w:p>
          <w:p>
            <w:pPr>
              <w:spacing w:after="0"/>
              <w:ind w:left="200" w:hanging="200"/>
            </w:pPr>
            <w:r>
              <w:rPr>
                <w:rFonts w:ascii="Aptos" w:cs="Aptos" w:eastAsia="Aptos" w:hAnsi="Aptos"/>
                <w:sz w:val="19"/>
                <w:szCs w:val="19"/>
              </w:rPr>
              <w:t xml:space="preserve">•  Wellbeing, Community and belonging: appreciate the significant role physical activity can play in fostering a sense of belonging within their PE class, school, community and environment.</w:t>
            </w:r>
          </w:p>
        </w:tc>
        <w:tc>
          <w:tcPr>
            <w:tcW w:type="dxa" w:w="700"/>
            <w:tcMar>
              <w:top w:type="dxa" w:w="70"/>
              <w:left w:type="dxa" w:w="110"/>
              <w:bottom w:type="dxa" w:w="70"/>
              <w:right w:type="dxa" w:w="110"/>
            </w:tcMar>
          </w:tcPr>
          <w:p>
            <w:pPr>
              <w:spacing w:after="0"/>
            </w:pPr>
            <w:r>
              <w:rPr>
                <w:rFonts w:ascii="Aptos" w:cs="Aptos" w:eastAsia="Aptos" w:hAnsi="Aptos"/>
                <w:sz w:val="19"/>
                <w:szCs w:val="19"/>
              </w:rPr>
              <w:t xml:space="preserve"/>
            </w:r>
          </w:p>
        </w:tc>
      </w:tr>
      <w:tr>
        <w:tc>
          <w:tcPr>
            <w:tcW w:type="dxa" w:w="2200"/>
            <w:tcMar>
              <w:top w:type="dxa" w:w="70"/>
              <w:left w:type="dxa" w:w="110"/>
              <w:bottom w:type="dxa" w:w="70"/>
              <w:right w:type="dxa" w:w="110"/>
            </w:tcMar>
          </w:tcPr>
          <w:p>
            <w:pPr>
              <w:spacing w:after="0"/>
            </w:pPr>
            <w:r>
              <w:rPr>
                <w:rFonts w:ascii="Aptos" w:cs="Aptos" w:eastAsia="Aptos" w:hAnsi="Aptos"/>
                <w:b/>
                <w:bCs/>
                <w:sz w:val="19"/>
                <w:szCs w:val="19"/>
              </w:rPr>
              <w:t xml:space="preserve">Integration</w:t>
            </w:r>
          </w:p>
        </w:tc>
        <w:tc>
          <w:tcPr>
            <w:tcW w:type="dxa" w:w="5700"/>
            <w:tcMar>
              <w:top w:type="dxa" w:w="70"/>
              <w:left w:type="dxa" w:w="110"/>
              <w:bottom w:type="dxa" w:w="70"/>
              <w:right w:type="dxa" w:w="110"/>
            </w:tcMar>
          </w:tcPr>
          <w:p>
            <w:pPr>
              <w:spacing w:after="0"/>
            </w:pPr>
            <w:r>
              <w:rPr>
                <w:rFonts w:ascii="Aptos" w:cs="Aptos" w:eastAsia="Aptos" w:hAnsi="Aptos"/>
                <w:sz w:val="19"/>
                <w:szCs w:val="19"/>
              </w:rPr>
              <w:t xml:space="preserve">Maths Week, October 10 to 18. Language – reading and writing sports reports.</w:t>
            </w:r>
          </w:p>
        </w:tc>
        <w:tc>
          <w:tcPr>
            <w:tcW w:type="dxa" w:w="700"/>
            <w:tcMar>
              <w:top w:type="dxa" w:w="70"/>
              <w:left w:type="dxa" w:w="110"/>
              <w:bottom w:type="dxa" w:w="70"/>
              <w:right w:type="dxa" w:w="110"/>
            </w:tcMar>
          </w:tcPr>
          <w:p>
            <w:pPr>
              <w:spacing w:after="0"/>
            </w:pPr>
            <w:r>
              <w:rPr>
                <w:rFonts w:ascii="Aptos" w:cs="Aptos" w:eastAsia="Aptos" w:hAnsi="Aptos"/>
                <w:sz w:val="19"/>
                <w:szCs w:val="19"/>
              </w:rPr>
              <w:t xml:space="preserve"/>
            </w:r>
          </w:p>
        </w:tc>
      </w:tr>
    </w:tbl>
    <w:p>
      <w:pPr>
        <w:pBdr>
          <w:bottom w:val="single" w:color="999999" w:sz="4" w:space="6"/>
        </w:pBdr>
        <w:spacing w:after="110" w:before="320"/>
      </w:pPr>
      <w:r>
        <w:rPr>
          <w:rFonts w:ascii="Aptos" w:cs="Aptos" w:eastAsia="Aptos" w:hAnsi="Aptos"/>
          <w:b/>
          <w:bCs/>
          <w:sz w:val="23"/>
          <w:szCs w:val="23"/>
        </w:rPr>
        <w:t xml:space="preserve">RISING STARS – KATIE KEANE (page 32)</w:t>
      </w:r>
    </w:p>
    <w:tbl>
      <w:tblPr>
        <w:tblW w:type="dxa" w:w="8600"/>
        <w:tblBorders>
          <w:top w:val="single" w:color="000000" w:sz="4"/>
          <w:left w:val="single" w:color="000000" w:sz="4"/>
          <w:bottom w:val="single" w:color="000000" w:sz="4"/>
          <w:right w:val="single" w:color="000000" w:sz="4"/>
          <w:insideH w:val="single" w:color="000000" w:sz="4"/>
          <w:insideV w:val="single" w:color="000000" w:sz="4"/>
        </w:tblBorders>
      </w:tblPr>
      <w:tblGrid>
        <w:gridCol w:w="2200"/>
        <w:gridCol w:w="5700"/>
        <w:gridCol w:w="700"/>
      </w:tblGrid>
      <w:tr>
        <w:tc>
          <w:tcPr>
            <w:tcW w:type="dxa" w:w="2200"/>
            <w:tcMar>
              <w:top w:type="dxa" w:w="70"/>
              <w:left w:type="dxa" w:w="110"/>
              <w:bottom w:type="dxa" w:w="70"/>
              <w:right w:type="dxa" w:w="110"/>
            </w:tcMar>
          </w:tcPr>
          <w:p>
            <w:pPr>
              <w:spacing w:after="0"/>
            </w:pPr>
            <w:r>
              <w:rPr>
                <w:rFonts w:ascii="Aptos" w:cs="Aptos" w:eastAsia="Aptos" w:hAnsi="Aptos"/>
                <w:b/>
                <w:bCs/>
                <w:sz w:val="19"/>
                <w:szCs w:val="19"/>
              </w:rPr>
              <w:t xml:space="preserve">Curriculum area / subject</w:t>
            </w:r>
          </w:p>
        </w:tc>
        <w:tc>
          <w:tcPr>
            <w:tcW w:type="dxa" w:w="5700"/>
            <w:tcMar>
              <w:top w:type="dxa" w:w="70"/>
              <w:left w:type="dxa" w:w="110"/>
              <w:bottom w:type="dxa" w:w="70"/>
              <w:right w:type="dxa" w:w="110"/>
            </w:tcMar>
          </w:tcPr>
          <w:p>
            <w:pPr>
              <w:spacing w:after="0"/>
            </w:pPr>
            <w:r>
              <w:rPr>
                <w:rFonts w:ascii="Aptos" w:cs="Aptos" w:eastAsia="Aptos" w:hAnsi="Aptos"/>
                <w:sz w:val="19"/>
                <w:szCs w:val="19"/>
              </w:rPr>
              <w:t xml:space="preserve">Wellbeing – SPHE and Physical Education; Language – English</w:t>
            </w:r>
          </w:p>
        </w:tc>
        <w:tc>
          <w:tcPr>
            <w:tcW w:type="dxa" w:w="700"/>
            <w:tcMar>
              <w:top w:type="dxa" w:w="70"/>
              <w:left w:type="dxa" w:w="110"/>
              <w:bottom w:type="dxa" w:w="70"/>
              <w:right w:type="dxa" w:w="110"/>
            </w:tcMar>
          </w:tcPr>
          <w:p>
            <w:pPr>
              <w:spacing w:after="0"/>
            </w:pPr>
            <w:r>
              <w:rPr>
                <w:rFonts w:ascii="Aptos" w:cs="Aptos" w:eastAsia="Aptos" w:hAnsi="Aptos"/>
                <w:sz w:val="19"/>
                <w:szCs w:val="19"/>
              </w:rPr>
              <w:t xml:space="preserve"/>
            </w:r>
          </w:p>
        </w:tc>
      </w:tr>
      <w:tr>
        <w:tc>
          <w:tcPr>
            <w:tcW w:type="dxa" w:w="2200"/>
            <w:tcMar>
              <w:top w:type="dxa" w:w="70"/>
              <w:left w:type="dxa" w:w="110"/>
              <w:bottom w:type="dxa" w:w="70"/>
              <w:right w:type="dxa" w:w="110"/>
            </w:tcMar>
          </w:tcPr>
          <w:p>
            <w:pPr>
              <w:spacing w:after="0"/>
            </w:pPr>
            <w:r>
              <w:rPr>
                <w:rFonts w:ascii="Aptos" w:cs="Aptos" w:eastAsia="Aptos" w:hAnsi="Aptos"/>
                <w:b/>
                <w:bCs/>
                <w:sz w:val="19"/>
                <w:szCs w:val="19"/>
              </w:rPr>
              <w:t xml:space="preserve">Strand / Strand Unit</w:t>
            </w:r>
          </w:p>
        </w:tc>
        <w:tc>
          <w:tcPr>
            <w:tcW w:type="dxa" w:w="5700"/>
            <w:tcMar>
              <w:top w:type="dxa" w:w="70"/>
              <w:left w:type="dxa" w:w="110"/>
              <w:bottom w:type="dxa" w:w="70"/>
              <w:right w:type="dxa" w:w="110"/>
            </w:tcMar>
          </w:tcPr>
          <w:p>
            <w:pPr>
              <w:spacing w:after="0"/>
            </w:pPr>
            <w:r>
              <w:rPr>
                <w:rFonts w:ascii="Aptos" w:cs="Aptos" w:eastAsia="Aptos" w:hAnsi="Aptos"/>
                <w:sz w:val="19"/>
                <w:szCs w:val="19"/>
              </w:rPr>
              <w:t xml:space="preserve">Emotional and relational education / Resilience; Participation. Language: Reading.</w:t>
            </w:r>
          </w:p>
        </w:tc>
        <w:tc>
          <w:tcPr>
            <w:tcW w:type="dxa" w:w="700"/>
            <w:tcMar>
              <w:top w:type="dxa" w:w="70"/>
              <w:left w:type="dxa" w:w="110"/>
              <w:bottom w:type="dxa" w:w="70"/>
              <w:right w:type="dxa" w:w="110"/>
            </w:tcMar>
          </w:tcPr>
          <w:p>
            <w:pPr>
              <w:spacing w:after="0"/>
            </w:pPr>
            <w:r>
              <w:rPr>
                <w:rFonts w:ascii="Aptos" w:cs="Aptos" w:eastAsia="Aptos" w:hAnsi="Aptos"/>
                <w:sz w:val="19"/>
                <w:szCs w:val="19"/>
              </w:rPr>
              <w:t xml:space="preserve"/>
            </w:r>
          </w:p>
        </w:tc>
      </w:tr>
      <w:tr>
        <w:tc>
          <w:tcPr>
            <w:tcW w:type="dxa" w:w="2200"/>
            <w:tcMar>
              <w:top w:type="dxa" w:w="70"/>
              <w:left w:type="dxa" w:w="110"/>
              <w:bottom w:type="dxa" w:w="70"/>
              <w:right w:type="dxa" w:w="110"/>
            </w:tcMar>
          </w:tcPr>
          <w:p>
            <w:pPr>
              <w:spacing w:after="0"/>
            </w:pPr>
            <w:r>
              <w:rPr>
                <w:rFonts w:ascii="Aptos" w:cs="Aptos" w:eastAsia="Aptos" w:hAnsi="Aptos"/>
                <w:b/>
                <w:bCs/>
                <w:sz w:val="19"/>
                <w:szCs w:val="19"/>
              </w:rPr>
              <w:t xml:space="preserve">Issue focus</w:t>
            </w:r>
          </w:p>
        </w:tc>
        <w:tc>
          <w:tcPr>
            <w:tcW w:type="dxa" w:w="5700"/>
            <w:tcMar>
              <w:top w:type="dxa" w:w="70"/>
              <w:left w:type="dxa" w:w="110"/>
              <w:bottom w:type="dxa" w:w="70"/>
              <w:right w:type="dxa" w:w="110"/>
            </w:tcMar>
          </w:tcPr>
          <w:p>
            <w:pPr>
              <w:spacing w:after="0"/>
            </w:pPr>
            <w:r>
              <w:rPr>
                <w:rFonts w:ascii="Aptos" w:cs="Aptos" w:eastAsia="Aptos" w:hAnsi="Aptos"/>
                <w:sz w:val="19"/>
                <w:szCs w:val="19"/>
              </w:rPr>
              <w:t xml:space="preserve">The 20-year-old goalkeeper from Ratoath, Co. Meath, her route from Shelbourne and Athlone Town through Shamrock Rovers to Leicester City, and the emergency loan where she saved two penalties in a shoot-out.</w:t>
            </w:r>
          </w:p>
        </w:tc>
        <w:tc>
          <w:tcPr>
            <w:tcW w:type="dxa" w:w="700"/>
            <w:tcMar>
              <w:top w:type="dxa" w:w="70"/>
              <w:left w:type="dxa" w:w="110"/>
              <w:bottom w:type="dxa" w:w="70"/>
              <w:right w:type="dxa" w:w="110"/>
            </w:tcMar>
          </w:tcPr>
          <w:p>
            <w:pPr>
              <w:spacing w:after="0"/>
            </w:pPr>
            <w:r>
              <w:rPr>
                <w:rFonts w:ascii="Aptos" w:cs="Aptos" w:eastAsia="Aptos" w:hAnsi="Aptos"/>
                <w:sz w:val="19"/>
                <w:szCs w:val="19"/>
              </w:rPr>
              <w:t xml:space="preserve"/>
            </w:r>
          </w:p>
        </w:tc>
      </w:tr>
      <w:tr>
        <w:tc>
          <w:tcPr>
            <w:tcW w:type="dxa" w:w="2200"/>
            <w:tcMar>
              <w:top w:type="dxa" w:w="70"/>
              <w:left w:type="dxa" w:w="110"/>
              <w:bottom w:type="dxa" w:w="70"/>
              <w:right w:type="dxa" w:w="110"/>
            </w:tcMar>
          </w:tcPr>
          <w:p>
            <w:pPr>
              <w:spacing w:after="0"/>
            </w:pPr>
            <w:r>
              <w:rPr>
                <w:rFonts w:ascii="Aptos" w:cs="Aptos" w:eastAsia="Aptos" w:hAnsi="Aptos"/>
                <w:b/>
                <w:bCs/>
                <w:sz w:val="19"/>
                <w:szCs w:val="19"/>
              </w:rPr>
              <w:t xml:space="preserve">Relevant Stage 4 learning outcomes</w:t>
            </w:r>
          </w:p>
        </w:tc>
        <w:tc>
          <w:tcPr>
            <w:tcW w:type="dxa" w:w="5700"/>
            <w:tcMar>
              <w:top w:type="dxa" w:w="70"/>
              <w:left w:type="dxa" w:w="110"/>
              <w:bottom w:type="dxa" w:w="70"/>
              <w:right w:type="dxa" w:w="110"/>
            </w:tcMar>
          </w:tcPr>
          <w:p>
            <w:pPr>
              <w:spacing w:after="80"/>
              <w:ind w:left="200" w:hanging="200"/>
            </w:pPr>
            <w:r>
              <w:rPr>
                <w:rFonts w:ascii="Aptos" w:cs="Aptos" w:eastAsia="Aptos" w:hAnsi="Aptos"/>
                <w:sz w:val="19"/>
                <w:szCs w:val="19"/>
              </w:rPr>
              <w:t xml:space="preserve">•  Wellbeing, Movement competence: demonstrate commitment and confidence to persevere with appropriate challenge, reflecting on the link between effort and improvement, demonstrating strategies that support resilience and the ability to seek help when necessary.</w:t>
            </w:r>
          </w:p>
          <w:p>
            <w:pPr>
              <w:spacing w:after="80"/>
              <w:ind w:left="200" w:hanging="200"/>
            </w:pPr>
            <w:r>
              <w:rPr>
                <w:rFonts w:ascii="Aptos" w:cs="Aptos" w:eastAsia="Aptos" w:hAnsi="Aptos"/>
                <w:sz w:val="19"/>
                <w:szCs w:val="19"/>
              </w:rPr>
              <w:t xml:space="preserve">•  Reading, Comprehension: choose, justify, and apply comprehension strategies to engage with text in a variety of genres across the curriculum, independently or collaboratively.</w:t>
            </w:r>
          </w:p>
          <w:p>
            <w:pPr>
              <w:spacing w:after="0"/>
              <w:ind w:left="200" w:hanging="200"/>
            </w:pPr>
            <w:r>
              <w:rPr>
                <w:rFonts w:ascii="Aptos" w:cs="Aptos" w:eastAsia="Aptos" w:hAnsi="Aptos"/>
                <w:sz w:val="19"/>
                <w:szCs w:val="19"/>
              </w:rPr>
              <w:t xml:space="preserve">•  Wellbeing, Community and belonging: appreciate the significant role physical activity can play in fostering a sense of belonging within their PE class, school, community and environment.</w:t>
            </w:r>
          </w:p>
        </w:tc>
        <w:tc>
          <w:tcPr>
            <w:tcW w:type="dxa" w:w="700"/>
            <w:tcMar>
              <w:top w:type="dxa" w:w="70"/>
              <w:left w:type="dxa" w:w="110"/>
              <w:bottom w:type="dxa" w:w="70"/>
              <w:right w:type="dxa" w:w="110"/>
            </w:tcMar>
          </w:tcPr>
          <w:p>
            <w:pPr>
              <w:spacing w:after="0"/>
            </w:pPr>
            <w:r>
              <w:rPr>
                <w:rFonts w:ascii="Aptos" w:cs="Aptos" w:eastAsia="Aptos" w:hAnsi="Aptos"/>
                <w:sz w:val="19"/>
                <w:szCs w:val="19"/>
              </w:rPr>
              <w:t xml:space="preserve"/>
            </w:r>
          </w:p>
        </w:tc>
      </w:tr>
      <w:tr>
        <w:tc>
          <w:tcPr>
            <w:tcW w:type="dxa" w:w="2200"/>
            <w:tcMar>
              <w:top w:type="dxa" w:w="70"/>
              <w:left w:type="dxa" w:w="110"/>
              <w:bottom w:type="dxa" w:w="70"/>
              <w:right w:type="dxa" w:w="110"/>
            </w:tcMar>
          </w:tcPr>
          <w:p>
            <w:pPr>
              <w:spacing w:after="0"/>
            </w:pPr>
            <w:r>
              <w:rPr>
                <w:rFonts w:ascii="Aptos" w:cs="Aptos" w:eastAsia="Aptos" w:hAnsi="Aptos"/>
                <w:b/>
                <w:bCs/>
                <w:sz w:val="19"/>
                <w:szCs w:val="19"/>
              </w:rPr>
              <w:t xml:space="preserve">Integration</w:t>
            </w:r>
          </w:p>
        </w:tc>
        <w:tc>
          <w:tcPr>
            <w:tcW w:type="dxa" w:w="5700"/>
            <w:tcMar>
              <w:top w:type="dxa" w:w="70"/>
              <w:left w:type="dxa" w:w="110"/>
              <w:bottom w:type="dxa" w:w="70"/>
              <w:right w:type="dxa" w:w="110"/>
            </w:tcMar>
          </w:tcPr>
          <w:p>
            <w:pPr>
              <w:spacing w:after="0"/>
            </w:pPr>
            <w:r>
              <w:rPr>
                <w:rFonts w:ascii="Aptos" w:cs="Aptos" w:eastAsia="Aptos" w:hAnsi="Aptos"/>
                <w:sz w:val="19"/>
                <w:szCs w:val="19"/>
              </w:rPr>
              <w:t xml:space="preserve">Language – biography and interview writing. PE – goalkeeping skills and decision-making under pressure.</w:t>
            </w:r>
          </w:p>
        </w:tc>
        <w:tc>
          <w:tcPr>
            <w:tcW w:type="dxa" w:w="700"/>
            <w:tcMar>
              <w:top w:type="dxa" w:w="70"/>
              <w:left w:type="dxa" w:w="110"/>
              <w:bottom w:type="dxa" w:w="70"/>
              <w:right w:type="dxa" w:w="110"/>
            </w:tcMar>
          </w:tcPr>
          <w:p>
            <w:pPr>
              <w:spacing w:after="0"/>
            </w:pPr>
            <w:r>
              <w:rPr>
                <w:rFonts w:ascii="Aptos" w:cs="Aptos" w:eastAsia="Aptos" w:hAnsi="Aptos"/>
                <w:sz w:val="19"/>
                <w:szCs w:val="19"/>
              </w:rPr>
              <w:t xml:space="preserve"/>
            </w:r>
          </w:p>
        </w:tc>
      </w:tr>
    </w:tbl>
    <w:sectPr>
      <w:headerReference w:type="default" r:id="rId7"/>
      <w:footerReference w:type="default" r:id="rId8"/>
      <w:pgSz w:w="11906" w:h="16838" w:orient="portrait"/>
      <w:pgMar w:top="1900" w:right="1656" w:bottom="1400" w:left="1656" w:header="800" w:footer="7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i/>
        <w:iCs/>
        <w:sz w:val="18"/>
        <w:szCs w:val="18"/>
      </w:rPr>
      <w:t xml:space="preserve">©News Mag Media 2026    Visit www.newsmagmedia.ie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pPr>
    <w:r>
      <w:drawing>
        <wp:anchor distT="0" distB="0" distL="0" distR="0" simplePos="0" allowOverlap="1" behindDoc="1" locked="0" layoutInCell="1" relativeHeight="1">
          <wp:simplePos x="0" y="0"/>
          <wp:positionH relativeFrom="page">
            <wp:posOffset>0</wp:posOffset>
          </wp:positionH>
          <wp:positionV relativeFrom="page">
            <wp:posOffset>0</wp:posOffset>
          </wp:positionV>
          <wp:extent cx="756285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a:off x="0" y="0"/>
                    <a:ext cx="7562850" cy="10696575"/>
                  </a:xfrm>
                  <a:prstGeom prst="rect">
                    <a:avLst/>
                  </a:prstGeom>
                </pic:spPr>
              </pic:pic>
            </a:graphicData>
          </a:graphic>
        </wp:anchor>
      </w:drawing>
    </w:r>
  </w:p>
  <w:p>
    <w:pPr>
      <w:spacing w:after="0"/>
    </w:pPr>
    <w:r>
      <w:drawing>
        <wp:anchor distT="0" distB="0" distL="0" distR="0" simplePos="0" allowOverlap="1" behindDoc="0" locked="0" layoutInCell="1" relativeHeight="5">
          <wp:simplePos x="0" y="0"/>
          <wp:positionH relativeFrom="page">
            <wp:align>center</wp:align>
          </wp:positionH>
          <wp:positionV relativeFrom="page">
            <wp:posOffset>470000</wp:posOffset>
          </wp:positionV>
          <wp:extent cx="361950" cy="457200"/>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361950" cy="457200"/>
                  </a:xfrm>
                  <a:prstGeom prst="rect">
                    <a:avLst/>
                  </a:prstGeom>
                </pic:spPr>
              </pic:pic>
            </a:graphicData>
          </a:graphic>
        </wp:anchor>
      </w:drawing>
    </w:r>
  </w:p>
  <w:p>
    <w:pPr>
      <w:spacing w:after="0"/>
      <w:jc w:val="right"/>
    </w:pPr>
    <w:r>
      <w:rPr>
        <w:rFonts w:ascii="Aptos" w:cs="Aptos" w:eastAsia="Aptos" w:hAnsi="Aptos"/>
        <w:b/>
        <w:bCs/>
        <w:sz w:val="18"/>
        <w:szCs w:val="18"/>
      </w:rPr>
      <w:t xml:space="preserve">October 2026  ·  Issue 155</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sz w:val="20"/>
        <w:szCs w:val="20"/>
      </w:rPr>
    </w:rPrDefault>
    <w:pPrDefault>
      <w:pPr>
        <w:spacing w:line="252"/>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1f18458a5c3b5bf796f146fdb15bdfc0d0374662.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1f18458a5c3b5bf796f146fdb15bdfc0d0374662.png"/><Relationship Id="rId1" Type="http://schemas.openxmlformats.org/officeDocument/2006/relationships/image" Target="media/b0c553ab54e72fd05ec92acb858aa0b618d3a074.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2026-10-01T11:03:36.221Z</dcterms:created>
  <dcterms:modified xsi:type="dcterms:W3CDTF">2026-10-01T11:03:36.223Z</dcterms:modified>
</cp:coreProperties>
</file>

<file path=docProps/custom.xml><?xml version="1.0" encoding="utf-8"?>
<Properties xmlns="http://schemas.openxmlformats.org/officeDocument/2006/custom-properties" xmlns:vt="http://schemas.openxmlformats.org/officeDocument/2006/docPropsVTypes"/>
</file>