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200"/>
        <w:jc w:val="center"/>
      </w:pPr>
      <w:r>
        <w:rPr>
          <w:b/>
          <w:bCs/>
          <w:sz w:val="56"/>
          <w:szCs w:val="56"/>
        </w:rPr>
        <w:t xml:space="preserve">NEWS FLASH</w:t>
      </w:r>
    </w:p>
    <w:p>
      <w:pPr>
        <w:spacing w:after="160"/>
        <w:jc w:val="center"/>
      </w:pPr>
      <w:r>
        <w:rPr>
          <w:b/>
          <w:bCs/>
          <w:sz w:val="40"/>
          <w:szCs w:val="40"/>
        </w:rPr>
        <w:t xml:space="preserve">Cuntas Míosúil</w:t>
      </w:r>
    </w:p>
    <w:p>
      <w:pPr>
        <w:spacing w:after="600"/>
        <w:jc w:val="center"/>
      </w:pPr>
      <w:r>
        <w:rPr>
          <w:sz w:val="30"/>
          <w:szCs w:val="30"/>
        </w:rPr>
        <w:t xml:space="preserve">Curriculum Planner</w:t>
      </w:r>
    </w:p>
    <w:p>
      <w:pPr>
        <w:spacing w:after="120"/>
        <w:jc w:val="center"/>
      </w:pPr>
      <w:r>
        <w:rPr>
          <w:sz w:val="26"/>
          <w:szCs w:val="26"/>
        </w:rPr>
        <w:t xml:space="preserve">October 2026</w:t>
      </w:r>
    </w:p>
    <w:p>
      <w:pPr>
        <w:spacing w:after="400"/>
        <w:jc w:val="center"/>
      </w:pPr>
      <w:r>
        <w:rPr>
          <w:sz w:val="26"/>
          <w:szCs w:val="26"/>
        </w:rPr>
        <w:t xml:space="preserve">Issue #107</w:t>
      </w:r>
    </w:p>
    <w:p>
      <w:pPr>
        <w:spacing w:after="700"/>
        <w:jc w:val="center"/>
      </w:pPr>
      <w:r>
        <w:rPr>
          <w:b/>
          <w:bCs/>
          <w:sz w:val="24"/>
          <w:szCs w:val="24"/>
        </w:rPr>
        <w:t xml:space="preserve">Stage 3 – Third and Fourth Classes</w:t>
      </w:r>
    </w:p>
    <w:p>
      <w:pPr>
        <w:jc w:val="center"/>
      </w:pPr>
      <w:r>
        <w:rPr>
          <w:i/>
          <w:iCs/>
          <w:sz w:val="20"/>
          <w:szCs w:val="20"/>
        </w:rPr>
        <w:t xml:space="preserve">Tick each row as you cover it, then file.</w:t>
      </w:r>
    </w:p>
    <w:p>
      <w:r>
        <w:br w:type="page"/>
      </w:r>
    </w:p>
    <w:p>
      <w:pPr>
        <w:pStyle w:val="Heading2"/>
        <w:keepNext/>
        <w:pBdr>
          <w:bottom w:val="single" w:color="999999" w:sz="6" w:space="6"/>
        </w:pBdr>
        <w:spacing w:after="140" w:before="360"/>
      </w:pPr>
      <w:r>
        <w:rPr>
          <w:b/>
          <w:bCs/>
          <w:color w:val="000000"/>
          <w:sz w:val="24"/>
          <w:szCs w:val="24"/>
        </w:rPr>
        <w:t xml:space="preserve">WHOLE-ISSUE LANGUAGE LINK</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Language – English</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w:t>
            </w:r>
          </w:p>
        </w:tc>
        <w:tc>
          <w:tcPr>
            <w:tcW w:type="dxa" w:w="5766"/>
            <w:tcMar>
              <w:top w:type="dxa" w:w="130"/>
              <w:left w:type="dxa" w:w="140"/>
              <w:bottom w:type="dxa" w:w="130"/>
              <w:right w:type="dxa" w:w="140"/>
            </w:tcMar>
          </w:tcPr>
          <w:p>
            <w:pPr>
              <w:spacing w:after="0" w:line="264"/>
            </w:pPr>
            <w:r>
              <w:rPr>
                <w:sz w:val="20"/>
                <w:szCs w:val="20"/>
              </w:rPr>
              <w:t xml:space="preserve">Reading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Learning outcome focus</w:t>
            </w:r>
          </w:p>
        </w:tc>
        <w:tc>
          <w:tcPr>
            <w:tcW w:type="dxa" w:w="5766"/>
            <w:tcMar>
              <w:top w:type="dxa" w:w="130"/>
              <w:left w:type="dxa" w:w="140"/>
              <w:bottom w:type="dxa" w:w="130"/>
              <w:right w:type="dxa" w:w="140"/>
            </w:tcMar>
          </w:tcPr>
          <w:p>
            <w:pPr>
              <w:spacing w:after="0" w:line="264"/>
            </w:pPr>
            <w:r>
              <w:rPr>
                <w:sz w:val="20"/>
                <w:szCs w:val="20"/>
              </w:rPr>
              <w:t xml:space="preserve">Comprehension; Response and author’s intent; Vocabulary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Recall, discuss and sequence significant details and identify key points of information in text.</w:t>
            </w:r>
          </w:p>
          <w:p>
            <w:pPr>
              <w:spacing w:after="100" w:line="264"/>
              <w:ind w:left="240" w:hanging="240"/>
            </w:pPr>
            <w:r>
              <w:rPr>
                <w:sz w:val="20"/>
                <w:szCs w:val="20"/>
              </w:rPr>
              <w:t xml:space="preserve">•  Discuss and share thoughts and opinions on texts in a range of genres across the curriculum. Consider and discuss author’s intent.</w:t>
            </w:r>
          </w:p>
          <w:p>
            <w:pPr>
              <w:spacing w:after="0" w:line="264"/>
              <w:ind w:left="240" w:hanging="240"/>
            </w:pPr>
            <w:r>
              <w:rPr>
                <w:sz w:val="20"/>
                <w:szCs w:val="20"/>
              </w:rPr>
              <w:t xml:space="preserve">•  Acquire appropriate vocabulary to support the comprehension of text shared by the teacher or read independently; talk about and use new vocabulary as it arises.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Application</w:t>
            </w:r>
          </w:p>
        </w:tc>
        <w:tc>
          <w:tcPr>
            <w:tcW w:type="dxa" w:w="5766"/>
            <w:tcMar>
              <w:top w:type="dxa" w:w="130"/>
              <w:left w:type="dxa" w:w="140"/>
              <w:bottom w:type="dxa" w:w="130"/>
              <w:right w:type="dxa" w:w="140"/>
            </w:tcMar>
          </w:tcPr>
          <w:p>
            <w:pPr>
              <w:spacing w:after="0" w:line="264"/>
            </w:pPr>
            <w:r>
              <w:rPr>
                <w:sz w:val="20"/>
                <w:szCs w:val="20"/>
              </w:rPr>
              <w:t xml:space="preserve">These outcomes can be developed through the magazine’s news, science, history, geography, art and biography texts.</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SAVE THE DATE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Mathematics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Measures / Time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October dates and date ranges, including World Space Week, Maths Week Ireland, World Teachers’ Day, World Smile Day, the clocks going back and Hallowe’en.</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w:t>
            </w:r>
          </w:p>
        </w:tc>
        <w:tc>
          <w:tcPr>
            <w:tcW w:type="dxa" w:w="5766"/>
            <w:tcMar>
              <w:top w:type="dxa" w:w="130"/>
              <w:left w:type="dxa" w:w="140"/>
              <w:bottom w:type="dxa" w:w="130"/>
              <w:right w:type="dxa" w:w="140"/>
            </w:tcMar>
          </w:tcPr>
          <w:p>
            <w:pPr>
              <w:spacing w:after="0" w:line="264"/>
            </w:pPr>
            <w:r>
              <w:rPr>
                <w:sz w:val="20"/>
                <w:szCs w:val="20"/>
              </w:rPr>
              <w:t xml:space="preserve">Compare, approximate and measure time using appropriate units of measurement. Identify the relationship between different units and representations of time.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Language – oral discussion and vocabulary; SEE – cultural and community events. The clocks going back supports work on the 24-hour clock and elapsed time.</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NEWS DESK</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Language – English</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w:t>
            </w:r>
          </w:p>
        </w:tc>
        <w:tc>
          <w:tcPr>
            <w:tcW w:type="dxa" w:w="5766"/>
            <w:tcMar>
              <w:top w:type="dxa" w:w="130"/>
              <w:left w:type="dxa" w:w="140"/>
              <w:bottom w:type="dxa" w:w="130"/>
              <w:right w:type="dxa" w:w="140"/>
            </w:tcMar>
          </w:tcPr>
          <w:p>
            <w:pPr>
              <w:spacing w:after="0" w:line="264"/>
            </w:pPr>
            <w:r>
              <w:rPr>
                <w:sz w:val="20"/>
                <w:szCs w:val="20"/>
              </w:rPr>
              <w:t xml:space="preserve">Reading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Short current-affairs reports on a Costa Rican strangler fig, margays, driverless taxis, a giant puffball found at a Sligo school and Ireland’s spiders.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Recall, discuss and sequence significant details and identify key points of information in text.</w:t>
            </w:r>
          </w:p>
          <w:p>
            <w:pPr>
              <w:spacing w:after="0" w:line="264"/>
              <w:ind w:left="240" w:hanging="240"/>
            </w:pPr>
            <w:r>
              <w:rPr>
                <w:sz w:val="20"/>
                <w:szCs w:val="20"/>
              </w:rPr>
              <w:t xml:space="preserve">•  Discuss and share thoughts and opinions on texts in a range of genres across the curriculum. Consider and discuss author’s intent.</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STEM – Living things, through the fig, the margays, the fungus and the spiders; Technology, through the driverless taxi report.</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PICTURE THIS – BLOODCURDLING FACTS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Science; Wellbeing – SPHE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Science: Living things. Wellbeing: Health education / Healthy living.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Blood, red cells, platelets, clotting, bone marrow, veins and how much blood the body holds, told in twelve quick facts.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Science: Classify groups of plants and animals according to a range of criteria such as families/types, habitats, parts/movement and diet.</w:t>
            </w:r>
          </w:p>
          <w:p>
            <w:pPr>
              <w:spacing w:after="0" w:line="264"/>
              <w:ind w:left="240" w:hanging="240"/>
            </w:pPr>
            <w:r>
              <w:rPr>
                <w:sz w:val="20"/>
                <w:szCs w:val="20"/>
              </w:rPr>
              <w:t xml:space="preserve">•  Wellbeing: Experience, explain and monitor the physical effects of being active on the body, such as changes in heart rate, breathing, temperature, flexibility and coordination.</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Mathematics – Measures / Capacity, using the volume of blood in the body; Language – scientific vocabulary.</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THIS MONTH IN HISTORY – WINNIE-THE-POOH AT 100</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Language – English; SEE – History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w:t>
            </w:r>
          </w:p>
        </w:tc>
        <w:tc>
          <w:tcPr>
            <w:tcW w:type="dxa" w:w="5766"/>
            <w:tcMar>
              <w:top w:type="dxa" w:w="130"/>
              <w:left w:type="dxa" w:w="140"/>
              <w:bottom w:type="dxa" w:w="130"/>
              <w:right w:type="dxa" w:w="140"/>
            </w:tcMar>
          </w:tcPr>
          <w:p>
            <w:pPr>
              <w:spacing w:after="0" w:line="264"/>
            </w:pPr>
            <w:r>
              <w:rPr>
                <w:sz w:val="20"/>
                <w:szCs w:val="20"/>
              </w:rPr>
              <w:t xml:space="preserve">Reading / The island of Ireland, Europe and the wider world</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The publication of Winnie-the-Pooh on October 14, 1926, the real bear behind the character and other October milestones.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English: Discuss and share thoughts and opinions on texts in a range of genres across the curriculum. Consider and discuss author’s intent.</w:t>
            </w:r>
          </w:p>
          <w:p>
            <w:pPr>
              <w:spacing w:after="0" w:line="264"/>
              <w:ind w:left="240" w:hanging="240"/>
            </w:pPr>
            <w:r>
              <w:rPr>
                <w:sz w:val="20"/>
                <w:szCs w:val="20"/>
              </w:rPr>
              <w:t xml:space="preserve">•  History: Identify specific patterns of change or continuity in how different generations in the locality live and work.</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Arts Education – responding to illustration and character design; Language – comparing a book with the story behind it.</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ART TO HEART – EDWARD HICKS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Arts Education – Art</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w:t>
            </w:r>
          </w:p>
        </w:tc>
        <w:tc>
          <w:tcPr>
            <w:tcW w:type="dxa" w:w="5766"/>
            <w:tcMar>
              <w:top w:type="dxa" w:w="130"/>
              <w:left w:type="dxa" w:w="140"/>
              <w:bottom w:type="dxa" w:w="130"/>
              <w:right w:type="dxa" w:w="140"/>
            </w:tcMar>
          </w:tcPr>
          <w:p>
            <w:pPr>
              <w:spacing w:after="0" w:line="264"/>
            </w:pPr>
            <w:r>
              <w:rPr>
                <w:sz w:val="20"/>
                <w:szCs w:val="20"/>
              </w:rPr>
              <w:t xml:space="preserve">Responding and connecting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The Peaceable Kingdom, folk art, oil on canvas, the Quaker belief in peace, and why Hicks painted the same scene more than 60 times.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Recognise and describe use and effect of space, line, shape, colour, form and texture when responding to a variety of artworks from Ireland and the wider world.</w:t>
            </w:r>
          </w:p>
          <w:p>
            <w:pPr>
              <w:spacing w:after="0" w:line="264"/>
              <w:ind w:left="240" w:hanging="240"/>
            </w:pPr>
            <w:r>
              <w:rPr>
                <w:sz w:val="20"/>
                <w:szCs w:val="20"/>
              </w:rPr>
              <w:t xml:space="preserve">•  Explore and identify art characteristics and techniques associated with different media, styles, genres and contexts of artworks from Ireland and the wider world.</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Art-making extension: Exploring and creating – pupils can paint their own peaceable scene. SEE – History, through William Penn and the Lenape in the painting’s background.</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PEOPLE WORKING IN OUR COMMUNITY – THE VET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SEE – Geography; STEM Education – Science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SEE: My locality / People and places. STEM: Living things.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What a vet does, reading an animal that cannot describe its symptoms, the difference between clinic and farm work, and the training route in Ireland.</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Geography: Examine the common economic activities of people in the locality, such as food and farming, forestry, fishing, industry, services, tourism and recreation, exploring how these have changed over time.</w:t>
            </w:r>
          </w:p>
          <w:p>
            <w:pPr>
              <w:spacing w:after="0" w:line="264"/>
              <w:ind w:left="240" w:hanging="240"/>
            </w:pPr>
            <w:r>
              <w:rPr>
                <w:sz w:val="20"/>
                <w:szCs w:val="20"/>
              </w:rPr>
              <w:t xml:space="preserve">•  Science: Classify groups of plants and animals according to a range of criteria such as families/types, habitats, parts/movement and diet.</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Wellbeing – care of animals and responsibility; Language – occupational vocabulary and explanation.</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AG MAG – MEGA MACHINES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Engineering; SEE – Geography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STEM: Engineering; Energy and forces. SEE: My locality / People and places.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The Holmer Terra Dos 5 sugar beet harvester, how it lifts, cleans and stores the crop, and the Bavarian blacksmith’s forge the company grew from.</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Engineering: Use empathy to consider user-needs, risks and limitations when identifying and researching design problems. Systematically plan, make, test and evaluate a design prototype to solve at least one of these problems.</w:t>
            </w:r>
          </w:p>
          <w:p>
            <w:pPr>
              <w:spacing w:after="0" w:line="264"/>
              <w:ind w:left="240" w:hanging="240"/>
            </w:pPr>
            <w:r>
              <w:rPr>
                <w:sz w:val="20"/>
                <w:szCs w:val="20"/>
              </w:rPr>
              <w:t xml:space="preserve">•  Science: Investigate and describe how forces can cause simple machines to operate. Using fair testing, investigate how forces can cause objects to move, stop and change speed, direction or shape.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Mathematics – Measures, using weight, speed and bunker capacity; Geography – farming as an economic activity.</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A RIPE OLD AGE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Mathematics; Science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Mathematics: Number / Sets and operations; Measures. Science: Living things.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A Maths Week special. Jonathan the tortoise at 194, the Greenland shark, Ming the clam, bristlecone pines, Newgrange and Jeanne Calment, ordered and compared.</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Mathematics: Understand and apply flexibly the four operations; and the relationships between operations.</w:t>
            </w:r>
          </w:p>
          <w:p>
            <w:pPr>
              <w:spacing w:after="0" w:line="264"/>
              <w:ind w:left="240" w:hanging="240"/>
            </w:pPr>
            <w:r>
              <w:rPr>
                <w:sz w:val="20"/>
                <w:szCs w:val="20"/>
              </w:rPr>
              <w:t xml:space="preserve">•  Science: Explore and investigate the interdependence of living things within ecosystems, how they adapt so they can survive and thrive and how basic food chains operate within them.</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Data – ordering and representing ages; Language – comparative vocabulary. Links directly to Maths Week Ireland on page 3.</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STAR QUALITY – MALALA YOUSAFZAI</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Wellbeing – SPHE; Language – English</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Wellbeing: Emotional and relational education / Resilience. Language: Reading.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Malala writing in secret about the ban on girls’ schooling in Swat, speaking out, and the Nobel Peace Prize in 2014.</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Wellbeing: Demonstrate commitment and confidence to persevere with appropriate challenge, reflecting on the link between effort and improvement, demonstrating coping skills that support resilience and the ability to seek support when necessary.</w:t>
            </w:r>
          </w:p>
          <w:p>
            <w:pPr>
              <w:spacing w:after="0" w:line="264"/>
              <w:ind w:left="240" w:hanging="240"/>
            </w:pPr>
            <w:r>
              <w:rPr>
                <w:sz w:val="20"/>
                <w:szCs w:val="20"/>
              </w:rPr>
              <w:t xml:space="preserve">•  English: Discuss and share thoughts and opinions on texts in a range of genres across the curriculum. Consider and discuss author’s intent.</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SEE – life in another country and the right to education; Language – biography, diary writing and persuasive speech.</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PUZZLER PAGES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Mathematics; Language – English</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Mathematics: Number / Sets and operations. Language: Writing / Spelling and word study.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Addition and subtraction code, word search, anagrams, hidden-object puzzle and vocabulary drawn from the issue.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Mathematics: Understand and apply flexibly the four operations; and the relationships between operations.</w:t>
            </w:r>
          </w:p>
          <w:p>
            <w:pPr>
              <w:spacing w:after="0" w:line="264"/>
              <w:ind w:left="240" w:hanging="240"/>
            </w:pPr>
            <w:r>
              <w:rPr>
                <w:sz w:val="20"/>
                <w:szCs w:val="20"/>
              </w:rPr>
              <w:t xml:space="preserve">•  English: Use knowledge of letter-sound correspondences and common spelling patterns to accurately spell words. Spell a wide range of high-frequency words accurately and begin to use reference materials to check and correct spelling.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Reading comprehension and retrieval across the whole issue.</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AROUND THE WORLD – MONGOLIA</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Social and Environmental Education – Geography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Europe and the wider world / People and places; Environment and sustainable living.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Location, population, Khüiten Peak, the grassland climate, gers, horses, meat and milk diet, airag, dumplings, eagle hunters and the Naadam festival.</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Develop an understanding of the borders of places, demonstrating a familiarity with the location, names and significant landmarks of areas in Ireland, Europe and the wider world.</w:t>
            </w:r>
          </w:p>
          <w:p>
            <w:pPr>
              <w:spacing w:after="0" w:line="264"/>
              <w:ind w:left="240" w:hanging="240"/>
            </w:pPr>
            <w:r>
              <w:rPr>
                <w:sz w:val="20"/>
                <w:szCs w:val="20"/>
              </w:rPr>
              <w:t xml:space="preserve">•  Identify, describe and compare some of the major physical features of the natural environment in Ireland, Europe and the wider world, such as rivers, lakes, mountains, seas, islands and biodiversity.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Mathematics – comparing Mongolia’s area and population with Ireland’s; Language – topic-specific vocabulary and oral presentation.</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AMAZING ANIMALS – THE SHOEBILL</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Science</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w:t>
            </w:r>
          </w:p>
        </w:tc>
        <w:tc>
          <w:tcPr>
            <w:tcW w:type="dxa" w:w="5766"/>
            <w:tcMar>
              <w:top w:type="dxa" w:w="130"/>
              <w:left w:type="dxa" w:w="140"/>
              <w:bottom w:type="dxa" w:w="130"/>
              <w:right w:type="dxa" w:w="140"/>
            </w:tcMar>
          </w:tcPr>
          <w:p>
            <w:pPr>
              <w:spacing w:after="0" w:line="264"/>
            </w:pPr>
            <w:r>
              <w:rPr>
                <w:sz w:val="20"/>
                <w:szCs w:val="20"/>
              </w:rPr>
              <w:t xml:space="preserve">Living things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Classification as a bird, the freshwater swamps of central and eastern Africa, the bill, hunting by standing still, and nesting.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Classify groups of plants and animals according to a range of criteria such as families/types, habitats, parts/movement and diet.</w:t>
            </w:r>
          </w:p>
          <w:p>
            <w:pPr>
              <w:spacing w:after="0" w:line="264"/>
              <w:ind w:left="240" w:hanging="240"/>
            </w:pPr>
            <w:r>
              <w:rPr>
                <w:sz w:val="20"/>
                <w:szCs w:val="20"/>
              </w:rPr>
              <w:t xml:space="preserve">•  Explore and investigate the interdependence of living things within ecosystems, how they adapt so they can survive and thrive and how basic food chains operate within them.</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Arts Education – observational drawing; Language – descriptive and scientific vocabulary.</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WORLD OF SCIENCE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STEM Education – Science, Technology and Engineering</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Nature of STEM; Living things; Technology.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A leak aboard the International Space Station, new findings about Ötzi the Iceman, and 5.5 million mining bees found under a New York graveyard.</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Nature of STEM: Explore, discuss and investigate the history of STEM, the evolving nature of STEM and how STEM is infused within our society.</w:t>
            </w:r>
          </w:p>
          <w:p>
            <w:pPr>
              <w:spacing w:after="0" w:line="264"/>
              <w:ind w:left="240" w:hanging="240"/>
            </w:pPr>
            <w:r>
              <w:rPr>
                <w:sz w:val="20"/>
                <w:szCs w:val="20"/>
              </w:rPr>
              <w:t xml:space="preserve">•  Technology: Explore how inputs, processes and outputs work together to make common digital and non-digital technologies function. Use and create with a range of technologies to assist and enhance their own learning and solve problems.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SEE – History, through Ötzi; Science – Living things, through the mining bees; Language – interpreting and explaining scientific news.</w:t>
            </w:r>
          </w:p>
        </w:tc>
        <w:tc>
          <w:tcPr>
            <w:tcW w:type="dxa" w:w="620"/>
            <w:tcMar>
              <w:top w:type="dxa" w:w="130"/>
              <w:left w:type="dxa" w:w="80"/>
              <w:bottom w:type="dxa" w:w="130"/>
              <w:right w:type="dxa" w:w="80"/>
            </w:tcMar>
            <w:vAlign w:val="center"/>
          </w:tcPr>
          <w:p>
            <w:pPr>
              <w:spacing w:after="0"/>
              <w:jc w:val="center"/>
            </w:pPr>
          </w:p>
        </w:tc>
      </w:tr>
    </w:tbl>
    <w:p>
      <w:pPr>
        <w:spacing w:after="60"/>
      </w:pPr>
    </w:p>
    <w:p>
      <w:pPr>
        <w:pStyle w:val="Heading2"/>
        <w:keepNext/>
        <w:pBdr>
          <w:bottom w:val="single" w:color="999999" w:sz="6" w:space="6"/>
        </w:pBdr>
        <w:spacing w:after="140" w:before="360"/>
      </w:pPr>
      <w:r>
        <w:rPr>
          <w:b/>
          <w:bCs/>
          <w:color w:val="000000"/>
          <w:sz w:val="24"/>
          <w:szCs w:val="24"/>
        </w:rPr>
        <w:t xml:space="preserve">WACKY WORLD OF SPORT – BOB BEAMON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400"/>
        <w:gridCol w:w="5766"/>
        <w:gridCol w:w="620"/>
      </w:tblGrid>
      <w:tr>
        <w:trPr>
          <w:cantSplit/>
        </w:trPr>
        <w:tc>
          <w:tcPr>
            <w:tcW w:type="dxa" w:w="2400"/>
            <w:tcMar>
              <w:top w:type="dxa" w:w="130"/>
              <w:left w:type="dxa" w:w="140"/>
              <w:bottom w:type="dxa" w:w="130"/>
              <w:right w:type="dxa" w:w="140"/>
            </w:tcMar>
          </w:tcPr>
          <w:p>
            <w:pPr>
              <w:spacing w:after="0" w:line="264"/>
            </w:pPr>
            <w:r>
              <w:rPr>
                <w:b/>
                <w:bCs/>
                <w:sz w:val="20"/>
                <w:szCs w:val="20"/>
              </w:rPr>
              <w:t xml:space="preserve">Curriculum area / subject</w:t>
            </w:r>
          </w:p>
        </w:tc>
        <w:tc>
          <w:tcPr>
            <w:tcW w:type="dxa" w:w="5766"/>
            <w:tcMar>
              <w:top w:type="dxa" w:w="130"/>
              <w:left w:type="dxa" w:w="140"/>
              <w:bottom w:type="dxa" w:w="130"/>
              <w:right w:type="dxa" w:w="140"/>
            </w:tcMar>
          </w:tcPr>
          <w:p>
            <w:pPr>
              <w:spacing w:after="0" w:line="264"/>
            </w:pPr>
            <w:r>
              <w:rPr>
                <w:sz w:val="20"/>
                <w:szCs w:val="20"/>
              </w:rPr>
              <w:t xml:space="preserve">Wellbeing – SPHE; STEM Education – Mathematics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Strand / Strand Unit</w:t>
            </w:r>
          </w:p>
        </w:tc>
        <w:tc>
          <w:tcPr>
            <w:tcW w:type="dxa" w:w="5766"/>
            <w:tcMar>
              <w:top w:type="dxa" w:w="130"/>
              <w:left w:type="dxa" w:w="140"/>
              <w:bottom w:type="dxa" w:w="130"/>
              <w:right w:type="dxa" w:w="140"/>
            </w:tcMar>
          </w:tcPr>
          <w:p>
            <w:pPr>
              <w:spacing w:after="0" w:line="264"/>
            </w:pPr>
            <w:r>
              <w:rPr>
                <w:sz w:val="20"/>
                <w:szCs w:val="20"/>
              </w:rPr>
              <w:t xml:space="preserve">Wellbeing: Movement competence; Resilience. Mathematics: Measures / Length.</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Issue focus</w:t>
            </w:r>
          </w:p>
        </w:tc>
        <w:tc>
          <w:tcPr>
            <w:tcW w:type="dxa" w:w="5766"/>
            <w:tcMar>
              <w:top w:type="dxa" w:w="130"/>
              <w:left w:type="dxa" w:w="140"/>
              <w:bottom w:type="dxa" w:w="130"/>
              <w:right w:type="dxa" w:w="140"/>
            </w:tcMar>
          </w:tcPr>
          <w:p>
            <w:pPr>
              <w:spacing w:after="0" w:line="264"/>
            </w:pPr>
            <w:r>
              <w:rPr>
                <w:sz w:val="20"/>
                <w:szCs w:val="20"/>
              </w:rPr>
              <w:t xml:space="preserve">Bob Beamon’s 8.90 metre long jump at the 1968 Mexico City Olympics, the measuring machine that could not reach, and feet against metres.</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Relevant Stage 3 learning outcomes</w:t>
            </w:r>
          </w:p>
        </w:tc>
        <w:tc>
          <w:tcPr>
            <w:tcW w:type="dxa" w:w="5766"/>
            <w:tcMar>
              <w:top w:type="dxa" w:w="130"/>
              <w:left w:type="dxa" w:w="140"/>
              <w:bottom w:type="dxa" w:w="130"/>
              <w:right w:type="dxa" w:w="140"/>
            </w:tcMar>
          </w:tcPr>
          <w:p>
            <w:pPr>
              <w:spacing w:after="100" w:line="264"/>
              <w:ind w:left="240" w:hanging="240"/>
            </w:pPr>
            <w:r>
              <w:rPr>
                <w:sz w:val="20"/>
                <w:szCs w:val="20"/>
              </w:rPr>
              <w:t xml:space="preserve">•  Movement competence: Reflect on the personal relevance of movement experiences, both individually and with others, and identify how their learning may positively impact their own movement journey.</w:t>
            </w:r>
          </w:p>
          <w:p>
            <w:pPr>
              <w:spacing w:after="100" w:line="264"/>
              <w:ind w:left="240" w:hanging="240"/>
            </w:pPr>
            <w:r>
              <w:rPr>
                <w:sz w:val="20"/>
                <w:szCs w:val="20"/>
              </w:rPr>
              <w:t xml:space="preserve">•  Movement competence: Reflect on how effort and development in skills, concepts and strategies can enhance their movement experiences.</w:t>
            </w:r>
          </w:p>
          <w:p>
            <w:pPr>
              <w:spacing w:after="0" w:line="264"/>
              <w:ind w:left="240" w:hanging="240"/>
            </w:pPr>
            <w:r>
              <w:rPr>
                <w:sz w:val="20"/>
                <w:szCs w:val="20"/>
              </w:rPr>
              <w:t xml:space="preserve">•  Resilience: Demonstrate commitment and confidence to persevere with appropriate challenge, reflecting on the link between effort and improvement, demonstrating coping skills that support resilience and the ability to seek support when necessary.</w:t>
            </w:r>
          </w:p>
        </w:tc>
        <w:tc>
          <w:tcPr>
            <w:tcW w:type="dxa" w:w="620"/>
            <w:tcMar>
              <w:top w:type="dxa" w:w="130"/>
              <w:left w:type="dxa" w:w="80"/>
              <w:bottom w:type="dxa" w:w="130"/>
              <w:right w:type="dxa" w:w="80"/>
            </w:tcMar>
            <w:vAlign w:val="center"/>
          </w:tcPr>
          <w:p>
            <w:pPr>
              <w:spacing w:after="0"/>
              <w:jc w:val="center"/>
            </w:pPr>
          </w:p>
        </w:tc>
      </w:tr>
      <w:tr>
        <w:trPr>
          <w:cantSplit/>
        </w:trPr>
        <w:tc>
          <w:tcPr>
            <w:tcW w:type="dxa" w:w="2400"/>
            <w:tcMar>
              <w:top w:type="dxa" w:w="130"/>
              <w:left w:type="dxa" w:w="140"/>
              <w:bottom w:type="dxa" w:w="130"/>
              <w:right w:type="dxa" w:w="140"/>
            </w:tcMar>
          </w:tcPr>
          <w:p>
            <w:pPr>
              <w:spacing w:after="0" w:line="264"/>
            </w:pPr>
            <w:r>
              <w:rPr>
                <w:b/>
                <w:bCs/>
                <w:sz w:val="20"/>
                <w:szCs w:val="20"/>
              </w:rPr>
              <w:t xml:space="preserve">Integration</w:t>
            </w:r>
          </w:p>
        </w:tc>
        <w:tc>
          <w:tcPr>
            <w:tcW w:type="dxa" w:w="5766"/>
            <w:tcMar>
              <w:top w:type="dxa" w:w="130"/>
              <w:left w:type="dxa" w:w="140"/>
              <w:bottom w:type="dxa" w:w="130"/>
              <w:right w:type="dxa" w:w="140"/>
            </w:tcMar>
          </w:tcPr>
          <w:p>
            <w:pPr>
              <w:spacing w:after="0" w:line="264"/>
            </w:pPr>
            <w:r>
              <w:rPr>
                <w:sz w:val="20"/>
                <w:szCs w:val="20"/>
              </w:rPr>
              <w:t xml:space="preserve">Mathematics – measuring and comparing length in the hall or yard; Language – report writing and discussion.</w:t>
            </w:r>
          </w:p>
        </w:tc>
        <w:tc>
          <w:tcPr>
            <w:tcW w:type="dxa" w:w="620"/>
            <w:tcMar>
              <w:top w:type="dxa" w:w="130"/>
              <w:left w:type="dxa" w:w="80"/>
              <w:bottom w:type="dxa" w:w="130"/>
              <w:right w:type="dxa" w:w="80"/>
            </w:tcMar>
            <w:vAlign w:val="center"/>
          </w:tcPr>
          <w:p>
            <w:pPr>
              <w:spacing w:after="0"/>
              <w:jc w:val="center"/>
            </w:pPr>
          </w:p>
        </w:tc>
      </w:tr>
    </w:tbl>
    <w:p>
      <w:pPr>
        <w:spacing w:after="60"/>
      </w:pPr>
    </w:p>
    <w:sectPr>
      <w:headerReference w:type="default" r:id="rId7"/>
      <w:footerReference w:type="default" r:id="rId8"/>
      <w:pgSz w:w="11906" w:h="16838" w:orient="portrait"/>
      <w:pgMar w:top="2100" w:right="1560" w:bottom="1620" w:left="1560" w:header="88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center"/>
    </w:pPr>
    <w:r>
      <w:rPr>
        <w:sz w:val="18"/>
        <w:szCs w:val="18"/>
      </w:rPr>
      <w:t xml:space="preserve">©News Mag Media 2026    Visit www.newsmagmedia.ie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anchor distT="0" distB="0" distL="0" distR="0" simplePos="0" allowOverlap="1" behindDoc="1" locked="0" layoutInCell="1" relativeHeight="1">
          <wp:simplePos x="0" y="0"/>
          <wp:positionH relativeFrom="page">
            <wp:align>center</wp:align>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p>
    <w:pPr>
      <w:spacing w:after="0"/>
    </w:pPr>
    <w:r>
      <w:drawing>
        <wp:anchor distT="0" distB="0" distL="0" distR="0" simplePos="0" allowOverlap="1" behindDoc="0" locked="0" layoutInCell="1" relativeHeight="5">
          <wp:simplePos x="0" y="0"/>
          <wp:positionH relativeFrom="page">
            <wp:align>center</wp:align>
          </wp:positionH>
          <wp:positionV relativeFrom="page">
            <wp:posOffset>580000</wp:posOffset>
          </wp:positionV>
          <wp:extent cx="876300" cy="4857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876300" cy="485775"/>
                  </a:xfrm>
                  <a:prstGeom prst="rect">
                    <a:avLst/>
                  </a:prstGeom>
                </pic:spPr>
              </pic:pic>
            </a:graphicData>
          </a:graphic>
        </wp:anchor>
      </w:drawing>
    </w:r>
  </w:p>
  <w:p>
    <w:pPr>
      <w:spacing w:after="240" w:before="240"/>
      <w:jc w:val="right"/>
    </w:pPr>
    <w:r>
      <w:rPr>
        <w:b/>
        <w:bCs/>
        <w:sz w:val="20"/>
        <w:szCs w:val="20"/>
      </w:rPr>
      <w:t xml:space="preserve">October 2026  ·  Issue 107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6c35b29e2dc0a9476edc43f40d69ed9e2a2ae08.png"/><Relationship Id="rId1" Type="http://schemas.openxmlformats.org/officeDocument/2006/relationships/image" Target="media/cc0cbd0ce04be67a3f6fa19b65050ae88ccbcc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2026-10-01T12:36:50.782Z</dcterms:created>
  <dcterms:modified xsi:type="dcterms:W3CDTF">2026-10-01T12:36:50.786Z</dcterms:modified>
</cp:coreProperties>
</file>

<file path=docProps/custom.xml><?xml version="1.0" encoding="utf-8"?>
<Properties xmlns="http://schemas.openxmlformats.org/officeDocument/2006/custom-properties" xmlns:vt="http://schemas.openxmlformats.org/officeDocument/2006/docPropsVTypes"/>
</file>