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A0AC" w14:textId="0254EEDF" w:rsidR="00941DAB" w:rsidRPr="00941DAB" w:rsidRDefault="00941DAB" w:rsidP="00941DAB">
      <w:pPr>
        <w:jc w:val="center"/>
        <w:rPr>
          <w:b/>
          <w:bCs/>
          <w:sz w:val="24"/>
          <w:szCs w:val="24"/>
        </w:rPr>
      </w:pPr>
      <w:r w:rsidRPr="00941DAB">
        <w:rPr>
          <w:b/>
          <w:bCs/>
          <w:sz w:val="24"/>
          <w:szCs w:val="24"/>
        </w:rPr>
        <w:t xml:space="preserve">TPP </w:t>
      </w:r>
      <w:r>
        <w:rPr>
          <w:b/>
          <w:bCs/>
          <w:sz w:val="24"/>
          <w:szCs w:val="24"/>
        </w:rPr>
        <w:t>#14</w:t>
      </w:r>
      <w:r w:rsidR="0060212E">
        <w:rPr>
          <w:b/>
          <w:bCs/>
          <w:sz w:val="24"/>
          <w:szCs w:val="24"/>
        </w:rPr>
        <w:t>8</w:t>
      </w:r>
      <w:r>
        <w:rPr>
          <w:b/>
          <w:bCs/>
          <w:sz w:val="24"/>
          <w:szCs w:val="24"/>
        </w:rPr>
        <w:t xml:space="preserve"> </w:t>
      </w:r>
      <w:proofErr w:type="spellStart"/>
      <w:r w:rsidRPr="00941DAB">
        <w:rPr>
          <w:b/>
          <w:bCs/>
          <w:sz w:val="24"/>
          <w:szCs w:val="24"/>
        </w:rPr>
        <w:t>Cuntas</w:t>
      </w:r>
      <w:proofErr w:type="spellEnd"/>
      <w:r w:rsidRPr="00941DAB">
        <w:rPr>
          <w:b/>
          <w:bCs/>
          <w:sz w:val="24"/>
          <w:szCs w:val="24"/>
        </w:rPr>
        <w:t xml:space="preserve"> </w:t>
      </w:r>
      <w:proofErr w:type="spellStart"/>
      <w:r w:rsidRPr="00941DAB">
        <w:rPr>
          <w:b/>
          <w:bCs/>
          <w:sz w:val="24"/>
          <w:szCs w:val="24"/>
        </w:rPr>
        <w:t>Míosúil</w:t>
      </w:r>
      <w:proofErr w:type="spellEnd"/>
      <w:r w:rsidRPr="00941DAB">
        <w:rPr>
          <w:b/>
          <w:bCs/>
          <w:sz w:val="24"/>
          <w:szCs w:val="24"/>
        </w:rPr>
        <w:t xml:space="preserve"> – </w:t>
      </w:r>
      <w:r w:rsidR="0060212E">
        <w:rPr>
          <w:b/>
          <w:bCs/>
          <w:sz w:val="24"/>
          <w:szCs w:val="24"/>
        </w:rPr>
        <w:t>January</w:t>
      </w:r>
      <w:r w:rsidRPr="00941DAB">
        <w:rPr>
          <w:b/>
          <w:bCs/>
          <w:sz w:val="24"/>
          <w:szCs w:val="24"/>
        </w:rPr>
        <w:t xml:space="preserve"> 202</w:t>
      </w:r>
      <w:r w:rsidR="0060212E">
        <w:rPr>
          <w:b/>
          <w:bCs/>
          <w:sz w:val="24"/>
          <w:szCs w:val="24"/>
        </w:rPr>
        <w:t>6</w:t>
      </w:r>
    </w:p>
    <w:tbl>
      <w:tblPr>
        <w:tblStyle w:val="TableGrid"/>
        <w:tblW w:w="13716" w:type="dxa"/>
        <w:tblLook w:val="04A0" w:firstRow="1" w:lastRow="0" w:firstColumn="1" w:lastColumn="0" w:noHBand="0" w:noVBand="1"/>
      </w:tblPr>
      <w:tblGrid>
        <w:gridCol w:w="1838"/>
        <w:gridCol w:w="1701"/>
        <w:gridCol w:w="2941"/>
        <w:gridCol w:w="7236"/>
      </w:tblGrid>
      <w:tr w:rsidR="00941DAB" w:rsidRPr="00941DAB" w14:paraId="2C588324" w14:textId="77777777" w:rsidTr="00941DAB">
        <w:tc>
          <w:tcPr>
            <w:tcW w:w="1838" w:type="dxa"/>
            <w:shd w:val="clear" w:color="auto" w:fill="D9D9D9" w:themeFill="background1" w:themeFillShade="D9"/>
          </w:tcPr>
          <w:p w14:paraId="1788C2B9" w14:textId="77777777" w:rsidR="00941DAB" w:rsidRPr="00941DAB" w:rsidRDefault="00941DAB" w:rsidP="00941DAB">
            <w:pPr>
              <w:spacing w:after="160" w:line="259" w:lineRule="auto"/>
              <w:rPr>
                <w:sz w:val="18"/>
                <w:szCs w:val="18"/>
                <w:lang w:val="en-US"/>
              </w:rPr>
            </w:pPr>
            <w:r w:rsidRPr="00941DAB">
              <w:rPr>
                <w:sz w:val="18"/>
                <w:szCs w:val="18"/>
                <w:lang w:val="en-US"/>
              </w:rPr>
              <w:t>Topic / Activity</w:t>
            </w:r>
          </w:p>
        </w:tc>
        <w:tc>
          <w:tcPr>
            <w:tcW w:w="1701" w:type="dxa"/>
            <w:shd w:val="clear" w:color="auto" w:fill="D9D9D9" w:themeFill="background1" w:themeFillShade="D9"/>
          </w:tcPr>
          <w:p w14:paraId="74A2FDAF" w14:textId="77777777" w:rsidR="00941DAB" w:rsidRPr="00941DAB" w:rsidRDefault="00941DAB" w:rsidP="00941DAB">
            <w:pPr>
              <w:spacing w:after="160" w:line="259" w:lineRule="auto"/>
              <w:rPr>
                <w:sz w:val="18"/>
                <w:szCs w:val="18"/>
                <w:lang w:val="en-US"/>
              </w:rPr>
            </w:pPr>
            <w:r w:rsidRPr="00941DAB">
              <w:rPr>
                <w:sz w:val="18"/>
                <w:szCs w:val="18"/>
                <w:lang w:val="en-US"/>
              </w:rPr>
              <w:t>Curriculum Links</w:t>
            </w:r>
          </w:p>
        </w:tc>
        <w:tc>
          <w:tcPr>
            <w:tcW w:w="2941" w:type="dxa"/>
            <w:shd w:val="clear" w:color="auto" w:fill="D9D9D9" w:themeFill="background1" w:themeFillShade="D9"/>
          </w:tcPr>
          <w:p w14:paraId="2BEB118B" w14:textId="77777777" w:rsidR="00941DAB" w:rsidRPr="00941DAB" w:rsidRDefault="00941DAB" w:rsidP="00941DAB">
            <w:pPr>
              <w:spacing w:after="160" w:line="259" w:lineRule="auto"/>
              <w:rPr>
                <w:sz w:val="18"/>
                <w:szCs w:val="18"/>
                <w:lang w:val="en-US"/>
              </w:rPr>
            </w:pPr>
            <w:r w:rsidRPr="00941DAB">
              <w:rPr>
                <w:sz w:val="18"/>
                <w:szCs w:val="18"/>
                <w:lang w:val="en-US"/>
              </w:rPr>
              <w:t>Learning Objectives</w:t>
            </w:r>
          </w:p>
        </w:tc>
        <w:tc>
          <w:tcPr>
            <w:tcW w:w="7236" w:type="dxa"/>
            <w:shd w:val="clear" w:color="auto" w:fill="D9D9D9" w:themeFill="background1" w:themeFillShade="D9"/>
          </w:tcPr>
          <w:p w14:paraId="740CDBC8" w14:textId="38AA7360" w:rsidR="00941DAB" w:rsidRPr="00941DAB" w:rsidRDefault="00941DAB" w:rsidP="00941DAB">
            <w:pPr>
              <w:spacing w:after="160" w:line="259" w:lineRule="auto"/>
              <w:rPr>
                <w:sz w:val="18"/>
                <w:szCs w:val="18"/>
                <w:lang w:val="en-US"/>
              </w:rPr>
            </w:pPr>
            <w:r w:rsidRPr="00941DAB">
              <w:rPr>
                <w:sz w:val="18"/>
                <w:szCs w:val="18"/>
                <w:lang w:val="en-US"/>
              </w:rPr>
              <w:t>Content Covered (</w:t>
            </w:r>
            <w:r w:rsidR="0060212E">
              <w:rPr>
                <w:sz w:val="18"/>
                <w:szCs w:val="18"/>
                <w:lang w:val="en-US"/>
              </w:rPr>
              <w:t>January</w:t>
            </w:r>
            <w:r w:rsidRPr="00941DAB">
              <w:rPr>
                <w:sz w:val="18"/>
                <w:szCs w:val="18"/>
                <w:lang w:val="en-US"/>
              </w:rPr>
              <w:t xml:space="preserve"> 202</w:t>
            </w:r>
            <w:r w:rsidR="0060212E">
              <w:rPr>
                <w:sz w:val="18"/>
                <w:szCs w:val="18"/>
                <w:lang w:val="en-US"/>
              </w:rPr>
              <w:t>6</w:t>
            </w:r>
            <w:r w:rsidRPr="00941DAB">
              <w:rPr>
                <w:sz w:val="18"/>
                <w:szCs w:val="18"/>
                <w:lang w:val="en-US"/>
              </w:rPr>
              <w:t>)</w:t>
            </w:r>
          </w:p>
        </w:tc>
      </w:tr>
      <w:tr w:rsidR="00941DAB" w:rsidRPr="00941DAB" w14:paraId="5174D492" w14:textId="77777777" w:rsidTr="00941DAB">
        <w:tc>
          <w:tcPr>
            <w:tcW w:w="1838" w:type="dxa"/>
          </w:tcPr>
          <w:p w14:paraId="5AABBCBD" w14:textId="4C8646D1" w:rsidR="00941DAB" w:rsidRPr="00941DAB" w:rsidRDefault="00941DAB" w:rsidP="00941DAB">
            <w:pPr>
              <w:spacing w:after="160" w:line="259" w:lineRule="auto"/>
              <w:rPr>
                <w:sz w:val="18"/>
                <w:szCs w:val="18"/>
                <w:lang w:val="en-US"/>
              </w:rPr>
            </w:pPr>
            <w:r w:rsidRPr="00941DAB">
              <w:rPr>
                <w:sz w:val="18"/>
                <w:szCs w:val="18"/>
                <w:lang w:val="en-US"/>
              </w:rPr>
              <w:t xml:space="preserve">Main Feature – </w:t>
            </w:r>
            <w:r w:rsidR="0060212E">
              <w:rPr>
                <w:sz w:val="18"/>
                <w:szCs w:val="18"/>
                <w:lang w:val="en-US"/>
              </w:rPr>
              <w:t>Coming Up in 2026</w:t>
            </w:r>
          </w:p>
        </w:tc>
        <w:tc>
          <w:tcPr>
            <w:tcW w:w="1701" w:type="dxa"/>
          </w:tcPr>
          <w:p w14:paraId="09749580" w14:textId="1A7AAC89" w:rsidR="00941DAB" w:rsidRPr="00941DAB" w:rsidRDefault="002572EF" w:rsidP="00941DAB">
            <w:pPr>
              <w:spacing w:after="160" w:line="259" w:lineRule="auto"/>
              <w:rPr>
                <w:sz w:val="18"/>
                <w:szCs w:val="18"/>
                <w:lang w:val="en-US"/>
              </w:rPr>
            </w:pPr>
            <w:r w:rsidRPr="002572EF">
              <w:rPr>
                <w:sz w:val="18"/>
                <w:szCs w:val="18"/>
              </w:rPr>
              <w:t>English – Reading / SPHE</w:t>
            </w:r>
          </w:p>
        </w:tc>
        <w:tc>
          <w:tcPr>
            <w:tcW w:w="2941" w:type="dxa"/>
          </w:tcPr>
          <w:p w14:paraId="57F0D596" w14:textId="77777777" w:rsidR="00D029D9" w:rsidRPr="00D029D9" w:rsidRDefault="00D029D9" w:rsidP="00D029D9">
            <w:pPr>
              <w:rPr>
                <w:sz w:val="18"/>
                <w:szCs w:val="18"/>
                <w:lang w:val="en-US"/>
              </w:rPr>
            </w:pPr>
            <w:r w:rsidRPr="00D029D9">
              <w:rPr>
                <w:sz w:val="18"/>
                <w:szCs w:val="18"/>
                <w:lang w:val="en-US"/>
              </w:rPr>
              <w:t>• Reflect on future events and developments</w:t>
            </w:r>
          </w:p>
          <w:p w14:paraId="4D3ED1A7" w14:textId="77777777" w:rsidR="00D029D9" w:rsidRPr="00D029D9" w:rsidRDefault="00D029D9" w:rsidP="00D029D9">
            <w:pPr>
              <w:rPr>
                <w:sz w:val="18"/>
                <w:szCs w:val="18"/>
                <w:lang w:val="en-US"/>
              </w:rPr>
            </w:pPr>
            <w:r w:rsidRPr="00D029D9">
              <w:rPr>
                <w:sz w:val="18"/>
                <w:szCs w:val="18"/>
                <w:lang w:val="en-US"/>
              </w:rPr>
              <w:t>• Discuss hopes, plans and expectations</w:t>
            </w:r>
          </w:p>
          <w:p w14:paraId="7DFDDEAA" w14:textId="77777777" w:rsidR="00D029D9" w:rsidRPr="00D029D9" w:rsidRDefault="00D029D9" w:rsidP="00D029D9">
            <w:pPr>
              <w:rPr>
                <w:sz w:val="18"/>
                <w:szCs w:val="18"/>
                <w:lang w:val="en-US"/>
              </w:rPr>
            </w:pPr>
            <w:r w:rsidRPr="00D029D9">
              <w:rPr>
                <w:sz w:val="18"/>
                <w:szCs w:val="18"/>
                <w:lang w:val="en-US"/>
              </w:rPr>
              <w:t>• Develop prediction and forward-thinking skills</w:t>
            </w:r>
          </w:p>
          <w:p w14:paraId="5898061F" w14:textId="0F540849" w:rsidR="00941DAB" w:rsidRPr="00941DAB" w:rsidRDefault="00D029D9" w:rsidP="00D029D9">
            <w:pPr>
              <w:spacing w:after="160" w:line="259" w:lineRule="auto"/>
              <w:rPr>
                <w:sz w:val="18"/>
                <w:szCs w:val="18"/>
                <w:lang w:val="en-US"/>
              </w:rPr>
            </w:pPr>
            <w:r w:rsidRPr="00D029D9">
              <w:rPr>
                <w:sz w:val="18"/>
                <w:szCs w:val="18"/>
                <w:lang w:val="en-US"/>
              </w:rPr>
              <w:t>• Express opinions clearly and respectfully</w:t>
            </w:r>
          </w:p>
        </w:tc>
        <w:tc>
          <w:tcPr>
            <w:tcW w:w="7236" w:type="dxa"/>
          </w:tcPr>
          <w:p w14:paraId="5B2FBD0F" w14:textId="02471A6D" w:rsidR="00941DAB" w:rsidRPr="00941DAB" w:rsidRDefault="00D029D9" w:rsidP="00941DAB">
            <w:pPr>
              <w:spacing w:after="160" w:line="259" w:lineRule="auto"/>
              <w:rPr>
                <w:sz w:val="18"/>
                <w:szCs w:val="18"/>
                <w:lang w:val="en-US"/>
              </w:rPr>
            </w:pPr>
            <w:r w:rsidRPr="00D029D9">
              <w:rPr>
                <w:sz w:val="18"/>
                <w:szCs w:val="18"/>
              </w:rPr>
              <w:t>Pupils explored what lies ahead in 2026, discussing upcoming events, changes and developments in Ireland and beyond. They shared ideas about the future, reflected on goals and aspirations, and practised expressing opinions and predictions through discussion and written responses.</w:t>
            </w:r>
          </w:p>
        </w:tc>
      </w:tr>
      <w:tr w:rsidR="00941DAB" w:rsidRPr="00941DAB" w14:paraId="5EE5FF12" w14:textId="77777777" w:rsidTr="00941DAB">
        <w:trPr>
          <w:trHeight w:val="1439"/>
        </w:trPr>
        <w:tc>
          <w:tcPr>
            <w:tcW w:w="1838" w:type="dxa"/>
          </w:tcPr>
          <w:p w14:paraId="0A0BC301" w14:textId="49451670" w:rsidR="00941DAB" w:rsidRPr="00941DAB" w:rsidRDefault="0060212E" w:rsidP="00941DAB">
            <w:pPr>
              <w:spacing w:after="160" w:line="259" w:lineRule="auto"/>
              <w:rPr>
                <w:sz w:val="18"/>
                <w:szCs w:val="18"/>
                <w:lang w:val="en-US"/>
              </w:rPr>
            </w:pPr>
            <w:r>
              <w:rPr>
                <w:sz w:val="18"/>
                <w:szCs w:val="18"/>
                <w:lang w:val="en-US"/>
              </w:rPr>
              <w:t xml:space="preserve">The Big Story: A final Look Back on 2025 </w:t>
            </w:r>
          </w:p>
        </w:tc>
        <w:tc>
          <w:tcPr>
            <w:tcW w:w="1701" w:type="dxa"/>
          </w:tcPr>
          <w:p w14:paraId="0044A84D" w14:textId="6C12DB04" w:rsidR="00941DAB" w:rsidRPr="00941DAB" w:rsidRDefault="00D029D9" w:rsidP="00941DAB">
            <w:pPr>
              <w:spacing w:after="160" w:line="259" w:lineRule="auto"/>
              <w:rPr>
                <w:sz w:val="18"/>
                <w:szCs w:val="18"/>
                <w:lang w:val="en-US"/>
              </w:rPr>
            </w:pPr>
            <w:r w:rsidRPr="00D029D9">
              <w:rPr>
                <w:sz w:val="18"/>
                <w:szCs w:val="18"/>
              </w:rPr>
              <w:t>English – Reading / SPHE</w:t>
            </w:r>
          </w:p>
        </w:tc>
        <w:tc>
          <w:tcPr>
            <w:tcW w:w="2941" w:type="dxa"/>
          </w:tcPr>
          <w:p w14:paraId="64F94885" w14:textId="352C4624" w:rsidR="00941DAB" w:rsidRPr="00941DAB" w:rsidRDefault="00D029D9" w:rsidP="00941DAB">
            <w:pPr>
              <w:spacing w:after="160" w:line="259" w:lineRule="auto"/>
              <w:rPr>
                <w:sz w:val="18"/>
                <w:szCs w:val="18"/>
                <w:lang w:val="en-US"/>
              </w:rPr>
            </w:pPr>
            <w:r w:rsidRPr="00D029D9">
              <w:rPr>
                <w:sz w:val="18"/>
                <w:szCs w:val="18"/>
              </w:rPr>
              <w:t>• Review key events from the past year</w:t>
            </w:r>
            <w:r w:rsidRPr="00D029D9">
              <w:rPr>
                <w:sz w:val="18"/>
                <w:szCs w:val="18"/>
              </w:rPr>
              <w:br/>
              <w:t>• Develop summarising and reflection skills</w:t>
            </w:r>
            <w:r w:rsidRPr="00D029D9">
              <w:rPr>
                <w:sz w:val="18"/>
                <w:szCs w:val="18"/>
              </w:rPr>
              <w:br/>
              <w:t>• Recognise how events can shape people and communities</w:t>
            </w:r>
            <w:r w:rsidRPr="00D029D9">
              <w:rPr>
                <w:sz w:val="18"/>
                <w:szCs w:val="18"/>
              </w:rPr>
              <w:br/>
              <w:t>• Express personal responses to news</w:t>
            </w:r>
          </w:p>
        </w:tc>
        <w:tc>
          <w:tcPr>
            <w:tcW w:w="7236" w:type="dxa"/>
          </w:tcPr>
          <w:p w14:paraId="4A5FF926" w14:textId="544CEDDC" w:rsidR="00941DAB" w:rsidRPr="00941DAB" w:rsidRDefault="002572EF" w:rsidP="00941DAB">
            <w:pPr>
              <w:spacing w:after="160" w:line="259" w:lineRule="auto"/>
              <w:rPr>
                <w:sz w:val="18"/>
                <w:szCs w:val="18"/>
                <w:lang w:val="en-US"/>
              </w:rPr>
            </w:pPr>
            <w:r w:rsidRPr="002572EF">
              <w:rPr>
                <w:sz w:val="18"/>
                <w:szCs w:val="18"/>
              </w:rPr>
              <w:t>Pupils reflected on major moments from 2025, discussing why certain events mattered and how they were reported. They practised summarising information, sharing opinions, and reflecting on how news stories connect to everyday life.</w:t>
            </w:r>
          </w:p>
        </w:tc>
      </w:tr>
      <w:tr w:rsidR="00941DAB" w:rsidRPr="00941DAB" w14:paraId="05863CBA" w14:textId="77777777" w:rsidTr="00941DAB">
        <w:trPr>
          <w:trHeight w:val="1404"/>
        </w:trPr>
        <w:tc>
          <w:tcPr>
            <w:tcW w:w="1838" w:type="dxa"/>
          </w:tcPr>
          <w:p w14:paraId="38772E54" w14:textId="77777777" w:rsidR="00941DAB" w:rsidRPr="00941DAB" w:rsidRDefault="00941DAB" w:rsidP="00941DAB">
            <w:pPr>
              <w:spacing w:after="160" w:line="259" w:lineRule="auto"/>
              <w:rPr>
                <w:sz w:val="18"/>
                <w:szCs w:val="18"/>
                <w:lang w:val="en-US"/>
              </w:rPr>
            </w:pPr>
            <w:r w:rsidRPr="00941DAB">
              <w:rPr>
                <w:sz w:val="18"/>
                <w:szCs w:val="18"/>
                <w:lang w:val="en-US"/>
              </w:rPr>
              <w:t>National and International News</w:t>
            </w:r>
          </w:p>
        </w:tc>
        <w:tc>
          <w:tcPr>
            <w:tcW w:w="1701" w:type="dxa"/>
          </w:tcPr>
          <w:p w14:paraId="4F392FB8" w14:textId="77777777" w:rsidR="00941DAB" w:rsidRPr="00941DAB" w:rsidRDefault="00941DAB" w:rsidP="00941DAB">
            <w:pPr>
              <w:spacing w:after="160" w:line="259" w:lineRule="auto"/>
              <w:rPr>
                <w:sz w:val="18"/>
                <w:szCs w:val="18"/>
                <w:lang w:val="en-US"/>
              </w:rPr>
            </w:pPr>
            <w:r w:rsidRPr="00941DAB">
              <w:rPr>
                <w:sz w:val="18"/>
                <w:szCs w:val="18"/>
                <w:lang w:val="en-US"/>
              </w:rPr>
              <w:t>Geography / SPHE / English – Oral Language</w:t>
            </w:r>
          </w:p>
        </w:tc>
        <w:tc>
          <w:tcPr>
            <w:tcW w:w="2941" w:type="dxa"/>
          </w:tcPr>
          <w:p w14:paraId="5FE89290" w14:textId="77777777" w:rsidR="00941DAB" w:rsidRPr="00941DAB" w:rsidRDefault="00941DAB" w:rsidP="00941DAB">
            <w:pPr>
              <w:spacing w:after="160" w:line="259" w:lineRule="auto"/>
              <w:rPr>
                <w:sz w:val="18"/>
                <w:szCs w:val="18"/>
                <w:lang w:val="en-US"/>
              </w:rPr>
            </w:pPr>
            <w:r w:rsidRPr="00941DAB">
              <w:rPr>
                <w:sz w:val="18"/>
                <w:szCs w:val="18"/>
                <w:lang w:val="en-US"/>
              </w:rPr>
              <w:t>• Identify and discuss current affairs at home and abroad</w:t>
            </w:r>
            <w:r w:rsidRPr="00941DAB">
              <w:rPr>
                <w:sz w:val="18"/>
                <w:szCs w:val="18"/>
                <w:lang w:val="en-US"/>
              </w:rPr>
              <w:br/>
              <w:t>• Develop awareness of global citizenship</w:t>
            </w:r>
            <w:r w:rsidRPr="00941DAB">
              <w:rPr>
                <w:sz w:val="18"/>
                <w:szCs w:val="18"/>
                <w:lang w:val="en-US"/>
              </w:rPr>
              <w:br/>
              <w:t>• Recognise how news connects communities worldwide</w:t>
            </w:r>
          </w:p>
        </w:tc>
        <w:tc>
          <w:tcPr>
            <w:tcW w:w="7236" w:type="dxa"/>
          </w:tcPr>
          <w:p w14:paraId="784B8DA7" w14:textId="1307553F" w:rsidR="00941DAB" w:rsidRPr="00941DAB" w:rsidRDefault="002572EF" w:rsidP="00941DAB">
            <w:pPr>
              <w:spacing w:after="160" w:line="259" w:lineRule="auto"/>
              <w:rPr>
                <w:sz w:val="18"/>
                <w:szCs w:val="18"/>
                <w:lang w:val="en-US"/>
              </w:rPr>
            </w:pPr>
            <w:r w:rsidRPr="002572EF">
              <w:rPr>
                <w:sz w:val="18"/>
                <w:szCs w:val="18"/>
              </w:rPr>
              <w:t>Pupils examined national and international news stories, exploring how events affect people locally and globally. They discussed themes such as responsibility, fairness and environmental impact, while developing oral language and critical thinking skills.</w:t>
            </w:r>
          </w:p>
        </w:tc>
      </w:tr>
      <w:tr w:rsidR="00941DAB" w:rsidRPr="00941DAB" w14:paraId="3FF8B7C1" w14:textId="77777777" w:rsidTr="00941DAB">
        <w:tc>
          <w:tcPr>
            <w:tcW w:w="1838" w:type="dxa"/>
          </w:tcPr>
          <w:p w14:paraId="09D46532" w14:textId="16626AA2" w:rsidR="00941DAB" w:rsidRPr="00941DAB" w:rsidRDefault="00941DAB" w:rsidP="00941DAB">
            <w:pPr>
              <w:spacing w:after="160" w:line="259" w:lineRule="auto"/>
              <w:rPr>
                <w:sz w:val="18"/>
                <w:szCs w:val="18"/>
                <w:lang w:val="en-US"/>
              </w:rPr>
            </w:pPr>
            <w:r w:rsidRPr="00941DAB">
              <w:rPr>
                <w:sz w:val="18"/>
                <w:szCs w:val="18"/>
                <w:lang w:val="en-US"/>
              </w:rPr>
              <w:t>Our Island’s History – The</w:t>
            </w:r>
            <w:r w:rsidR="0060212E">
              <w:rPr>
                <w:sz w:val="18"/>
                <w:szCs w:val="18"/>
                <w:lang w:val="en-US"/>
              </w:rPr>
              <w:t xml:space="preserve"> Gaelic Revival </w:t>
            </w:r>
          </w:p>
        </w:tc>
        <w:tc>
          <w:tcPr>
            <w:tcW w:w="1701" w:type="dxa"/>
          </w:tcPr>
          <w:p w14:paraId="343AD66D" w14:textId="77777777" w:rsidR="00941DAB" w:rsidRPr="00941DAB" w:rsidRDefault="00941DAB" w:rsidP="00941DAB">
            <w:pPr>
              <w:spacing w:after="160" w:line="259" w:lineRule="auto"/>
              <w:rPr>
                <w:sz w:val="18"/>
                <w:szCs w:val="18"/>
                <w:lang w:val="en-US"/>
              </w:rPr>
            </w:pPr>
            <w:r w:rsidRPr="00941DAB">
              <w:rPr>
                <w:sz w:val="18"/>
                <w:szCs w:val="18"/>
                <w:lang w:val="en-US"/>
              </w:rPr>
              <w:t>History – Story</w:t>
            </w:r>
          </w:p>
        </w:tc>
        <w:tc>
          <w:tcPr>
            <w:tcW w:w="2941" w:type="dxa"/>
          </w:tcPr>
          <w:p w14:paraId="5040F454" w14:textId="39CC15D9" w:rsidR="00941DAB" w:rsidRPr="00941DAB" w:rsidRDefault="002572EF" w:rsidP="00941DAB">
            <w:pPr>
              <w:spacing w:after="160" w:line="259" w:lineRule="auto"/>
              <w:rPr>
                <w:sz w:val="18"/>
                <w:szCs w:val="18"/>
                <w:lang w:val="en-US"/>
              </w:rPr>
            </w:pPr>
            <w:r w:rsidRPr="002572EF">
              <w:rPr>
                <w:sz w:val="18"/>
                <w:szCs w:val="18"/>
              </w:rPr>
              <w:t>• Learn about cultural movements in Irish history</w:t>
            </w:r>
            <w:r w:rsidRPr="002572EF">
              <w:rPr>
                <w:sz w:val="18"/>
                <w:szCs w:val="18"/>
              </w:rPr>
              <w:br/>
              <w:t>• Identify key figures of the Gaelic Revival</w:t>
            </w:r>
            <w:r w:rsidRPr="002572EF">
              <w:rPr>
                <w:sz w:val="18"/>
                <w:szCs w:val="18"/>
              </w:rPr>
              <w:br/>
              <w:t>• Understand the importance of language, sport and culture</w:t>
            </w:r>
            <w:r w:rsidRPr="002572EF">
              <w:rPr>
                <w:sz w:val="18"/>
                <w:szCs w:val="18"/>
              </w:rPr>
              <w:br/>
              <w:t>• Recognise how culture shapes national identity</w:t>
            </w:r>
          </w:p>
        </w:tc>
        <w:tc>
          <w:tcPr>
            <w:tcW w:w="7236" w:type="dxa"/>
          </w:tcPr>
          <w:p w14:paraId="66EA2776" w14:textId="67298F7B" w:rsidR="00941DAB" w:rsidRPr="00941DAB" w:rsidRDefault="002572EF" w:rsidP="00941DAB">
            <w:pPr>
              <w:spacing w:after="160" w:line="259" w:lineRule="auto"/>
              <w:rPr>
                <w:sz w:val="18"/>
                <w:szCs w:val="18"/>
                <w:lang w:val="en-US"/>
              </w:rPr>
            </w:pPr>
            <w:r w:rsidRPr="002572EF">
              <w:rPr>
                <w:sz w:val="18"/>
                <w:szCs w:val="18"/>
              </w:rPr>
              <w:t xml:space="preserve">Pupils studied the Gaelic Revival, learning about the renewed interest in Irish language, music, sport and literature. They explored the work of organisations such as the GAA and the </w:t>
            </w:r>
            <w:proofErr w:type="gramStart"/>
            <w:r w:rsidRPr="002572EF">
              <w:rPr>
                <w:sz w:val="18"/>
                <w:szCs w:val="18"/>
              </w:rPr>
              <w:t>Gaelic League, and</w:t>
            </w:r>
            <w:proofErr w:type="gramEnd"/>
            <w:r w:rsidRPr="002572EF">
              <w:rPr>
                <w:sz w:val="18"/>
                <w:szCs w:val="18"/>
              </w:rPr>
              <w:t xml:space="preserve"> discussed how cultural revival helped shape modern Ireland.</w:t>
            </w:r>
          </w:p>
        </w:tc>
      </w:tr>
      <w:tr w:rsidR="00941DAB" w:rsidRPr="00941DAB" w14:paraId="1A2B5C85" w14:textId="77777777" w:rsidTr="00941DAB">
        <w:tc>
          <w:tcPr>
            <w:tcW w:w="1838" w:type="dxa"/>
          </w:tcPr>
          <w:p w14:paraId="09D59090" w14:textId="77777777" w:rsidR="0060212E" w:rsidRPr="0060212E" w:rsidRDefault="00941DAB" w:rsidP="0060212E">
            <w:pPr>
              <w:rPr>
                <w:sz w:val="18"/>
                <w:szCs w:val="18"/>
                <w:lang w:val="en-US"/>
              </w:rPr>
            </w:pPr>
            <w:r w:rsidRPr="00941DAB">
              <w:rPr>
                <w:sz w:val="18"/>
                <w:szCs w:val="18"/>
                <w:lang w:val="en-US"/>
              </w:rPr>
              <w:lastRenderedPageBreak/>
              <w:t xml:space="preserve">Planet Art – </w:t>
            </w:r>
            <w:r w:rsidR="0060212E" w:rsidRPr="0060212E">
              <w:rPr>
                <w:i/>
                <w:iCs/>
                <w:sz w:val="18"/>
                <w:szCs w:val="18"/>
              </w:rPr>
              <w:t xml:space="preserve">Trompe-L’oeil Still Life </w:t>
            </w:r>
            <w:proofErr w:type="gramStart"/>
            <w:r w:rsidR="0060212E" w:rsidRPr="0060212E">
              <w:rPr>
                <w:i/>
                <w:iCs/>
                <w:sz w:val="18"/>
                <w:szCs w:val="18"/>
              </w:rPr>
              <w:t>With</w:t>
            </w:r>
            <w:proofErr w:type="gramEnd"/>
            <w:r w:rsidR="0060212E" w:rsidRPr="0060212E">
              <w:rPr>
                <w:i/>
                <w:iCs/>
                <w:sz w:val="18"/>
                <w:szCs w:val="18"/>
              </w:rPr>
              <w:t xml:space="preserve"> </w:t>
            </w:r>
            <w:proofErr w:type="gramStart"/>
            <w:r w:rsidR="0060212E" w:rsidRPr="0060212E">
              <w:rPr>
                <w:i/>
                <w:iCs/>
                <w:sz w:val="18"/>
                <w:szCs w:val="18"/>
              </w:rPr>
              <w:t>A</w:t>
            </w:r>
            <w:proofErr w:type="gramEnd"/>
            <w:r w:rsidR="0060212E" w:rsidRPr="0060212E">
              <w:rPr>
                <w:i/>
                <w:iCs/>
                <w:sz w:val="18"/>
                <w:szCs w:val="18"/>
              </w:rPr>
              <w:t xml:space="preserve"> Flower Garland </w:t>
            </w:r>
            <w:proofErr w:type="gramStart"/>
            <w:r w:rsidR="0060212E" w:rsidRPr="0060212E">
              <w:rPr>
                <w:i/>
                <w:iCs/>
                <w:sz w:val="18"/>
                <w:szCs w:val="18"/>
              </w:rPr>
              <w:t>And</w:t>
            </w:r>
            <w:proofErr w:type="gramEnd"/>
            <w:r w:rsidR="0060212E" w:rsidRPr="0060212E">
              <w:rPr>
                <w:i/>
                <w:iCs/>
                <w:sz w:val="18"/>
                <w:szCs w:val="18"/>
              </w:rPr>
              <w:t xml:space="preserve"> </w:t>
            </w:r>
            <w:proofErr w:type="gramStart"/>
            <w:r w:rsidR="0060212E" w:rsidRPr="0060212E">
              <w:rPr>
                <w:i/>
                <w:iCs/>
                <w:sz w:val="18"/>
                <w:szCs w:val="18"/>
              </w:rPr>
              <w:t>A</w:t>
            </w:r>
            <w:proofErr w:type="gramEnd"/>
            <w:r w:rsidR="0060212E" w:rsidRPr="0060212E">
              <w:rPr>
                <w:i/>
                <w:iCs/>
                <w:sz w:val="18"/>
                <w:szCs w:val="18"/>
              </w:rPr>
              <w:t xml:space="preserve"> Curtain </w:t>
            </w:r>
            <w:r w:rsidRPr="00941DAB">
              <w:rPr>
                <w:sz w:val="18"/>
                <w:szCs w:val="18"/>
                <w:lang w:val="en-US"/>
              </w:rPr>
              <w:t>(</w:t>
            </w:r>
            <w:r w:rsidR="0060212E">
              <w:rPr>
                <w:sz w:val="18"/>
                <w:szCs w:val="18"/>
                <w:lang w:val="en-US"/>
              </w:rPr>
              <w:t>1658</w:t>
            </w:r>
            <w:r w:rsidRPr="00941DAB">
              <w:rPr>
                <w:sz w:val="18"/>
                <w:szCs w:val="18"/>
                <w:lang w:val="en-US"/>
              </w:rPr>
              <w:t xml:space="preserve">) – </w:t>
            </w:r>
            <w:r w:rsidR="0060212E" w:rsidRPr="0060212E">
              <w:rPr>
                <w:sz w:val="18"/>
                <w:szCs w:val="18"/>
                <w:lang w:val="en-US"/>
              </w:rPr>
              <w:t>Adriaen</w:t>
            </w:r>
          </w:p>
          <w:p w14:paraId="61179A2F" w14:textId="77777777" w:rsidR="0060212E" w:rsidRPr="0060212E" w:rsidRDefault="0060212E" w:rsidP="0060212E">
            <w:pPr>
              <w:rPr>
                <w:sz w:val="18"/>
                <w:szCs w:val="18"/>
                <w:lang w:val="en-US"/>
              </w:rPr>
            </w:pPr>
            <w:r w:rsidRPr="0060212E">
              <w:rPr>
                <w:sz w:val="18"/>
                <w:szCs w:val="18"/>
                <w:lang w:val="en-US"/>
              </w:rPr>
              <w:t>van der Spelt</w:t>
            </w:r>
          </w:p>
          <w:p w14:paraId="43AE3171" w14:textId="39AC9484" w:rsidR="00941DAB" w:rsidRPr="00941DAB" w:rsidRDefault="0060212E" w:rsidP="0060212E">
            <w:pPr>
              <w:rPr>
                <w:sz w:val="18"/>
                <w:szCs w:val="18"/>
                <w:lang w:val="en-US"/>
              </w:rPr>
            </w:pPr>
            <w:r w:rsidRPr="0060212E">
              <w:rPr>
                <w:sz w:val="18"/>
                <w:szCs w:val="18"/>
                <w:lang w:val="en-US"/>
              </w:rPr>
              <w:t>and</w:t>
            </w:r>
            <w:r>
              <w:rPr>
                <w:sz w:val="18"/>
                <w:szCs w:val="18"/>
                <w:lang w:val="en-US"/>
              </w:rPr>
              <w:t xml:space="preserve"> </w:t>
            </w:r>
            <w:r w:rsidRPr="0060212E">
              <w:rPr>
                <w:sz w:val="18"/>
                <w:szCs w:val="18"/>
                <w:lang w:val="en-US"/>
              </w:rPr>
              <w:t>Frans van Mieris</w:t>
            </w:r>
          </w:p>
        </w:tc>
        <w:tc>
          <w:tcPr>
            <w:tcW w:w="1701" w:type="dxa"/>
          </w:tcPr>
          <w:p w14:paraId="0CAB9D16" w14:textId="77777777" w:rsidR="00941DAB" w:rsidRPr="00941DAB" w:rsidRDefault="00941DAB" w:rsidP="00941DAB">
            <w:pPr>
              <w:spacing w:after="160" w:line="259" w:lineRule="auto"/>
              <w:rPr>
                <w:sz w:val="18"/>
                <w:szCs w:val="18"/>
                <w:lang w:val="en-US"/>
              </w:rPr>
            </w:pPr>
            <w:r w:rsidRPr="00941DAB">
              <w:rPr>
                <w:sz w:val="18"/>
                <w:szCs w:val="18"/>
                <w:lang w:val="en-US"/>
              </w:rPr>
              <w:t>Visual Arts – Paint and Colour / Drawing</w:t>
            </w:r>
          </w:p>
        </w:tc>
        <w:tc>
          <w:tcPr>
            <w:tcW w:w="2941" w:type="dxa"/>
          </w:tcPr>
          <w:p w14:paraId="2EB61116" w14:textId="20F4A288" w:rsidR="00941DAB" w:rsidRPr="00941DAB" w:rsidRDefault="002572EF" w:rsidP="00941DAB">
            <w:pPr>
              <w:spacing w:after="160" w:line="259" w:lineRule="auto"/>
              <w:rPr>
                <w:sz w:val="18"/>
                <w:szCs w:val="18"/>
                <w:lang w:val="en-US"/>
              </w:rPr>
            </w:pPr>
            <w:r w:rsidRPr="002572EF">
              <w:rPr>
                <w:sz w:val="18"/>
                <w:szCs w:val="18"/>
              </w:rPr>
              <w:t>• Look closely at illusion and detail in art</w:t>
            </w:r>
            <w:r w:rsidRPr="002572EF">
              <w:rPr>
                <w:sz w:val="18"/>
                <w:szCs w:val="18"/>
              </w:rPr>
              <w:br/>
              <w:t>• Use art vocabulary to describe visual effects</w:t>
            </w:r>
            <w:r w:rsidRPr="002572EF">
              <w:rPr>
                <w:sz w:val="18"/>
                <w:szCs w:val="18"/>
              </w:rPr>
              <w:br/>
              <w:t>• Explore realism and trick-the-eye techniques</w:t>
            </w:r>
            <w:r w:rsidRPr="002572EF">
              <w:rPr>
                <w:sz w:val="18"/>
                <w:szCs w:val="18"/>
              </w:rPr>
              <w:br/>
              <w:t>• Respond creatively to historical artworks</w:t>
            </w:r>
          </w:p>
        </w:tc>
        <w:tc>
          <w:tcPr>
            <w:tcW w:w="7236" w:type="dxa"/>
          </w:tcPr>
          <w:p w14:paraId="19BA4665" w14:textId="2AFD632D" w:rsidR="00941DAB" w:rsidRPr="00941DAB" w:rsidRDefault="002572EF" w:rsidP="00941DAB">
            <w:pPr>
              <w:spacing w:after="160" w:line="259" w:lineRule="auto"/>
              <w:rPr>
                <w:sz w:val="18"/>
                <w:szCs w:val="18"/>
                <w:lang w:val="en-US"/>
              </w:rPr>
            </w:pPr>
            <w:r w:rsidRPr="002572EF">
              <w:rPr>
                <w:sz w:val="18"/>
                <w:szCs w:val="18"/>
              </w:rPr>
              <w:t>Pupils explored trompe-l’oeil painting, focusing on how artists create realistic illusions. They examined texture, shading and composition in the artwork and created their own drawings inspired by optical effects.</w:t>
            </w:r>
          </w:p>
        </w:tc>
      </w:tr>
      <w:tr w:rsidR="00941DAB" w:rsidRPr="00941DAB" w14:paraId="07869569" w14:textId="77777777" w:rsidTr="00941DAB">
        <w:tc>
          <w:tcPr>
            <w:tcW w:w="1838" w:type="dxa"/>
          </w:tcPr>
          <w:p w14:paraId="0C892D44" w14:textId="2DFFF50B" w:rsidR="00941DAB" w:rsidRPr="00941DAB" w:rsidRDefault="00941DAB" w:rsidP="00941DAB">
            <w:pPr>
              <w:spacing w:after="160" w:line="259" w:lineRule="auto"/>
              <w:rPr>
                <w:sz w:val="18"/>
                <w:szCs w:val="18"/>
                <w:lang w:val="en-US"/>
              </w:rPr>
            </w:pPr>
            <w:r w:rsidRPr="00941DAB">
              <w:rPr>
                <w:sz w:val="18"/>
                <w:szCs w:val="18"/>
                <w:lang w:val="en-US"/>
              </w:rPr>
              <w:t xml:space="preserve">Planet Places – </w:t>
            </w:r>
            <w:r w:rsidR="0060212E" w:rsidRPr="0060212E">
              <w:rPr>
                <w:sz w:val="18"/>
                <w:szCs w:val="18"/>
                <w:lang w:val="en-US"/>
              </w:rPr>
              <w:t>Komodo National Park</w:t>
            </w:r>
            <w:r w:rsidR="0060212E" w:rsidRPr="00941DAB">
              <w:rPr>
                <w:sz w:val="18"/>
                <w:szCs w:val="18"/>
                <w:lang w:val="en-US"/>
              </w:rPr>
              <w:t xml:space="preserve">, </w:t>
            </w:r>
            <w:r w:rsidR="0060212E">
              <w:rPr>
                <w:sz w:val="18"/>
                <w:szCs w:val="18"/>
                <w:lang w:val="en-US"/>
              </w:rPr>
              <w:t>Indonesia</w:t>
            </w:r>
          </w:p>
        </w:tc>
        <w:tc>
          <w:tcPr>
            <w:tcW w:w="1701" w:type="dxa"/>
          </w:tcPr>
          <w:p w14:paraId="059A401B" w14:textId="77777777" w:rsidR="00941DAB" w:rsidRPr="00941DAB" w:rsidRDefault="00941DAB" w:rsidP="00941DAB">
            <w:pPr>
              <w:spacing w:after="160" w:line="259" w:lineRule="auto"/>
              <w:rPr>
                <w:sz w:val="18"/>
                <w:szCs w:val="18"/>
                <w:lang w:val="en-US"/>
              </w:rPr>
            </w:pPr>
            <w:r w:rsidRPr="00941DAB">
              <w:rPr>
                <w:sz w:val="18"/>
                <w:szCs w:val="18"/>
                <w:lang w:val="en-US"/>
              </w:rPr>
              <w:t>Geography – Natural Environments</w:t>
            </w:r>
          </w:p>
        </w:tc>
        <w:tc>
          <w:tcPr>
            <w:tcW w:w="2941" w:type="dxa"/>
          </w:tcPr>
          <w:p w14:paraId="0999FA58" w14:textId="678A240E" w:rsidR="00941DAB" w:rsidRPr="00941DAB" w:rsidRDefault="002572EF" w:rsidP="00941DAB">
            <w:pPr>
              <w:spacing w:after="160" w:line="259" w:lineRule="auto"/>
              <w:rPr>
                <w:sz w:val="18"/>
                <w:szCs w:val="18"/>
                <w:lang w:val="en-US"/>
              </w:rPr>
            </w:pPr>
            <w:r w:rsidRPr="002572EF">
              <w:rPr>
                <w:sz w:val="18"/>
                <w:szCs w:val="18"/>
              </w:rPr>
              <w:t>• Locate Indonesia on a world map</w:t>
            </w:r>
            <w:r w:rsidRPr="002572EF">
              <w:rPr>
                <w:sz w:val="18"/>
                <w:szCs w:val="18"/>
              </w:rPr>
              <w:br/>
              <w:t>• Learn about unique ecosystems and wildlife</w:t>
            </w:r>
            <w:r w:rsidRPr="002572EF">
              <w:rPr>
                <w:sz w:val="18"/>
                <w:szCs w:val="18"/>
              </w:rPr>
              <w:br/>
              <w:t>• Understand conservation and national parks</w:t>
            </w:r>
            <w:r w:rsidRPr="002572EF">
              <w:rPr>
                <w:sz w:val="18"/>
                <w:szCs w:val="18"/>
              </w:rPr>
              <w:br/>
              <w:t>• Compare environments with Ireland</w:t>
            </w:r>
          </w:p>
        </w:tc>
        <w:tc>
          <w:tcPr>
            <w:tcW w:w="7236" w:type="dxa"/>
          </w:tcPr>
          <w:p w14:paraId="7325ADB9" w14:textId="3DFD4A5F" w:rsidR="00941DAB" w:rsidRPr="00941DAB" w:rsidRDefault="002572EF" w:rsidP="00941DAB">
            <w:pPr>
              <w:spacing w:after="160" w:line="259" w:lineRule="auto"/>
              <w:rPr>
                <w:sz w:val="18"/>
                <w:szCs w:val="18"/>
                <w:lang w:val="en-US"/>
              </w:rPr>
            </w:pPr>
            <w:r w:rsidRPr="002572EF">
              <w:rPr>
                <w:sz w:val="18"/>
                <w:szCs w:val="18"/>
              </w:rPr>
              <w:t>Pupils explored Komodo National Park, learning about its landscape, climate and famous Komodo dragons. They discussed conservation efforts, biodiversity and how protected areas help preserve endangered species.</w:t>
            </w:r>
          </w:p>
        </w:tc>
      </w:tr>
      <w:tr w:rsidR="00941DAB" w:rsidRPr="00941DAB" w14:paraId="7B132173" w14:textId="77777777" w:rsidTr="00941DAB">
        <w:tc>
          <w:tcPr>
            <w:tcW w:w="1838" w:type="dxa"/>
          </w:tcPr>
          <w:p w14:paraId="79C5957F" w14:textId="7FE1CC64" w:rsidR="00941DAB" w:rsidRPr="00941DAB" w:rsidRDefault="00941DAB" w:rsidP="00941DAB">
            <w:pPr>
              <w:spacing w:after="160" w:line="259" w:lineRule="auto"/>
              <w:rPr>
                <w:sz w:val="18"/>
                <w:szCs w:val="18"/>
                <w:lang w:val="en-US"/>
              </w:rPr>
            </w:pPr>
            <w:r w:rsidRPr="00941DAB">
              <w:rPr>
                <w:sz w:val="18"/>
                <w:szCs w:val="18"/>
                <w:lang w:val="en-US"/>
              </w:rPr>
              <w:t xml:space="preserve">Animal SOS – </w:t>
            </w:r>
            <w:r w:rsidR="0060212E">
              <w:rPr>
                <w:sz w:val="18"/>
                <w:szCs w:val="18"/>
                <w:lang w:val="en-US"/>
              </w:rPr>
              <w:t xml:space="preserve">Save the </w:t>
            </w:r>
            <w:r w:rsidR="0060212E" w:rsidRPr="0060212E">
              <w:rPr>
                <w:sz w:val="18"/>
                <w:szCs w:val="18"/>
              </w:rPr>
              <w:t xml:space="preserve">Secretary </w:t>
            </w:r>
            <w:r w:rsidR="0060212E">
              <w:rPr>
                <w:sz w:val="18"/>
                <w:szCs w:val="18"/>
              </w:rPr>
              <w:t>B</w:t>
            </w:r>
            <w:r w:rsidR="0060212E" w:rsidRPr="0060212E">
              <w:rPr>
                <w:sz w:val="18"/>
                <w:szCs w:val="18"/>
              </w:rPr>
              <w:t>ird</w:t>
            </w:r>
          </w:p>
        </w:tc>
        <w:tc>
          <w:tcPr>
            <w:tcW w:w="1701" w:type="dxa"/>
          </w:tcPr>
          <w:p w14:paraId="2C053375" w14:textId="77777777" w:rsidR="00941DAB" w:rsidRPr="00941DAB" w:rsidRDefault="00941DAB" w:rsidP="00941DAB">
            <w:pPr>
              <w:spacing w:after="160" w:line="259" w:lineRule="auto"/>
              <w:rPr>
                <w:sz w:val="18"/>
                <w:szCs w:val="18"/>
                <w:lang w:val="en-US"/>
              </w:rPr>
            </w:pPr>
            <w:r w:rsidRPr="00941DAB">
              <w:rPr>
                <w:sz w:val="18"/>
                <w:szCs w:val="18"/>
                <w:lang w:val="en-US"/>
              </w:rPr>
              <w:t>Science – Living Things (Plants and Animals)</w:t>
            </w:r>
          </w:p>
        </w:tc>
        <w:tc>
          <w:tcPr>
            <w:tcW w:w="2941" w:type="dxa"/>
          </w:tcPr>
          <w:p w14:paraId="5E93CEF7" w14:textId="26DAD014" w:rsidR="00941DAB" w:rsidRPr="00941DAB" w:rsidRDefault="002572EF" w:rsidP="00941DAB">
            <w:pPr>
              <w:spacing w:after="160" w:line="259" w:lineRule="auto"/>
              <w:rPr>
                <w:sz w:val="18"/>
                <w:szCs w:val="18"/>
                <w:lang w:val="en-US"/>
              </w:rPr>
            </w:pPr>
            <w:r w:rsidRPr="002572EF">
              <w:rPr>
                <w:sz w:val="18"/>
                <w:szCs w:val="18"/>
              </w:rPr>
              <w:t>• Identify characteristics of birds of prey</w:t>
            </w:r>
            <w:r w:rsidRPr="002572EF">
              <w:rPr>
                <w:sz w:val="18"/>
                <w:szCs w:val="18"/>
              </w:rPr>
              <w:br/>
              <w:t>• Learn about habitats and adaptations</w:t>
            </w:r>
            <w:r w:rsidRPr="002572EF">
              <w:rPr>
                <w:sz w:val="18"/>
                <w:szCs w:val="18"/>
              </w:rPr>
              <w:br/>
              <w:t>• Understand threats to wildlife</w:t>
            </w:r>
            <w:r w:rsidRPr="002572EF">
              <w:rPr>
                <w:sz w:val="18"/>
                <w:szCs w:val="18"/>
              </w:rPr>
              <w:br/>
              <w:t>• Discuss conservation efforts</w:t>
            </w:r>
          </w:p>
        </w:tc>
        <w:tc>
          <w:tcPr>
            <w:tcW w:w="7236" w:type="dxa"/>
          </w:tcPr>
          <w:p w14:paraId="6777D429" w14:textId="61887A55" w:rsidR="00941DAB" w:rsidRPr="00941DAB" w:rsidRDefault="002572EF" w:rsidP="00941DAB">
            <w:pPr>
              <w:spacing w:after="160" w:line="259" w:lineRule="auto"/>
              <w:rPr>
                <w:sz w:val="18"/>
                <w:szCs w:val="18"/>
                <w:lang w:val="en-US"/>
              </w:rPr>
            </w:pPr>
            <w:r w:rsidRPr="002572EF">
              <w:rPr>
                <w:sz w:val="18"/>
                <w:szCs w:val="18"/>
              </w:rPr>
              <w:t xml:space="preserve">Pupils learned about the secretary bird, its unique hunting style and habitat. They discussed dangers such as habitat loss and climate </w:t>
            </w:r>
            <w:proofErr w:type="gramStart"/>
            <w:r w:rsidRPr="002572EF">
              <w:rPr>
                <w:sz w:val="18"/>
                <w:szCs w:val="18"/>
              </w:rPr>
              <w:t>change, and</w:t>
            </w:r>
            <w:proofErr w:type="gramEnd"/>
            <w:r w:rsidRPr="002572EF">
              <w:rPr>
                <w:sz w:val="18"/>
                <w:szCs w:val="18"/>
              </w:rPr>
              <w:t xml:space="preserve"> explored how conservation groups work to protect vulnerable species.</w:t>
            </w:r>
          </w:p>
        </w:tc>
      </w:tr>
      <w:tr w:rsidR="00941DAB" w:rsidRPr="00941DAB" w14:paraId="4F86B4C4" w14:textId="77777777" w:rsidTr="00941DAB">
        <w:tc>
          <w:tcPr>
            <w:tcW w:w="1838" w:type="dxa"/>
          </w:tcPr>
          <w:p w14:paraId="27F742F2" w14:textId="33A19634" w:rsidR="00941DAB" w:rsidRPr="00941DAB" w:rsidRDefault="00941DAB" w:rsidP="00941DAB">
            <w:pPr>
              <w:spacing w:after="160" w:line="259" w:lineRule="auto"/>
              <w:rPr>
                <w:sz w:val="18"/>
                <w:szCs w:val="18"/>
                <w:lang w:val="en-US"/>
              </w:rPr>
            </w:pPr>
            <w:r w:rsidRPr="00941DAB">
              <w:rPr>
                <w:sz w:val="18"/>
                <w:szCs w:val="18"/>
                <w:lang w:val="en-US"/>
              </w:rPr>
              <w:t xml:space="preserve">County by County – </w:t>
            </w:r>
            <w:r w:rsidR="0060212E">
              <w:rPr>
                <w:sz w:val="18"/>
                <w:szCs w:val="18"/>
                <w:lang w:val="en-US"/>
              </w:rPr>
              <w:t>Antrim</w:t>
            </w:r>
          </w:p>
        </w:tc>
        <w:tc>
          <w:tcPr>
            <w:tcW w:w="1701" w:type="dxa"/>
          </w:tcPr>
          <w:p w14:paraId="53D015A7" w14:textId="77777777" w:rsidR="00941DAB" w:rsidRPr="00941DAB" w:rsidRDefault="00941DAB" w:rsidP="00941DAB">
            <w:pPr>
              <w:spacing w:after="160" w:line="259" w:lineRule="auto"/>
              <w:rPr>
                <w:sz w:val="18"/>
                <w:szCs w:val="18"/>
                <w:lang w:val="en-US"/>
              </w:rPr>
            </w:pPr>
            <w:r w:rsidRPr="00941DAB">
              <w:rPr>
                <w:sz w:val="18"/>
                <w:szCs w:val="18"/>
                <w:lang w:val="en-US"/>
              </w:rPr>
              <w:t>Geography – Human and Natural Environments</w:t>
            </w:r>
          </w:p>
        </w:tc>
        <w:tc>
          <w:tcPr>
            <w:tcW w:w="2941" w:type="dxa"/>
          </w:tcPr>
          <w:p w14:paraId="70DB9C67" w14:textId="77777777" w:rsidR="00941DAB" w:rsidRPr="00941DAB" w:rsidRDefault="00941DAB" w:rsidP="00941DAB">
            <w:pPr>
              <w:spacing w:after="160" w:line="259" w:lineRule="auto"/>
              <w:rPr>
                <w:sz w:val="18"/>
                <w:szCs w:val="18"/>
                <w:lang w:val="en-US"/>
              </w:rPr>
            </w:pPr>
            <w:r w:rsidRPr="00941DAB">
              <w:rPr>
                <w:sz w:val="18"/>
                <w:szCs w:val="18"/>
                <w:lang w:val="en-US"/>
              </w:rPr>
              <w:t>• Develop a sense of place through Irish counties</w:t>
            </w:r>
            <w:r w:rsidRPr="00941DAB">
              <w:rPr>
                <w:sz w:val="18"/>
                <w:szCs w:val="18"/>
                <w:lang w:val="en-US"/>
              </w:rPr>
              <w:br/>
              <w:t>• Identify key physical and cultural features</w:t>
            </w:r>
            <w:r w:rsidRPr="00941DAB">
              <w:rPr>
                <w:sz w:val="18"/>
                <w:szCs w:val="18"/>
                <w:lang w:val="en-US"/>
              </w:rPr>
              <w:br/>
              <w:t>• Recognise the importance of local heritage</w:t>
            </w:r>
          </w:p>
        </w:tc>
        <w:tc>
          <w:tcPr>
            <w:tcW w:w="7236" w:type="dxa"/>
          </w:tcPr>
          <w:p w14:paraId="340C1B79" w14:textId="0AC297F9" w:rsidR="00941DAB" w:rsidRPr="00941DAB" w:rsidRDefault="002572EF" w:rsidP="00941DAB">
            <w:pPr>
              <w:spacing w:after="160" w:line="259" w:lineRule="auto"/>
              <w:rPr>
                <w:sz w:val="18"/>
                <w:szCs w:val="18"/>
                <w:lang w:val="en-US"/>
              </w:rPr>
            </w:pPr>
            <w:r w:rsidRPr="002572EF">
              <w:rPr>
                <w:sz w:val="18"/>
                <w:szCs w:val="18"/>
              </w:rPr>
              <w:t>Pupils explored County Antrim, learning about features such as the Giant’s Causeway, coastline, towns and cultural heritage. They discussed tourism, landscape and how geography influences local life.</w:t>
            </w:r>
          </w:p>
        </w:tc>
      </w:tr>
      <w:tr w:rsidR="00941DAB" w:rsidRPr="00941DAB" w14:paraId="6593F721" w14:textId="77777777" w:rsidTr="00941DAB">
        <w:tc>
          <w:tcPr>
            <w:tcW w:w="1838" w:type="dxa"/>
          </w:tcPr>
          <w:p w14:paraId="7DD1ABCD" w14:textId="450DB7EB" w:rsidR="00941DAB" w:rsidRPr="00941DAB" w:rsidRDefault="00941DAB" w:rsidP="00941DAB">
            <w:pPr>
              <w:spacing w:after="160" w:line="259" w:lineRule="auto"/>
              <w:rPr>
                <w:sz w:val="18"/>
                <w:szCs w:val="18"/>
                <w:lang w:val="en-US"/>
              </w:rPr>
            </w:pPr>
            <w:r w:rsidRPr="00941DAB">
              <w:rPr>
                <w:sz w:val="18"/>
                <w:szCs w:val="18"/>
                <w:lang w:val="en-US"/>
              </w:rPr>
              <w:t xml:space="preserve">Planet Motors – </w:t>
            </w:r>
            <w:r w:rsidR="0060212E">
              <w:rPr>
                <w:sz w:val="18"/>
                <w:szCs w:val="18"/>
                <w:lang w:val="en-US"/>
              </w:rPr>
              <w:t>Bentley Batur</w:t>
            </w:r>
          </w:p>
        </w:tc>
        <w:tc>
          <w:tcPr>
            <w:tcW w:w="1701" w:type="dxa"/>
          </w:tcPr>
          <w:p w14:paraId="6FB8C730" w14:textId="77777777" w:rsidR="00941DAB" w:rsidRPr="00941DAB" w:rsidRDefault="00941DAB" w:rsidP="00941DAB">
            <w:pPr>
              <w:spacing w:after="160" w:line="259" w:lineRule="auto"/>
              <w:rPr>
                <w:sz w:val="18"/>
                <w:szCs w:val="18"/>
                <w:lang w:val="en-US"/>
              </w:rPr>
            </w:pPr>
            <w:r w:rsidRPr="00941DAB">
              <w:rPr>
                <w:sz w:val="18"/>
                <w:szCs w:val="18"/>
                <w:lang w:val="en-US"/>
              </w:rPr>
              <w:t>Science – Materials / Energy and Forces</w:t>
            </w:r>
            <w:r w:rsidRPr="00941DAB">
              <w:rPr>
                <w:sz w:val="18"/>
                <w:szCs w:val="18"/>
                <w:lang w:val="en-US"/>
              </w:rPr>
              <w:br/>
              <w:t>Maths – Measures</w:t>
            </w:r>
          </w:p>
        </w:tc>
        <w:tc>
          <w:tcPr>
            <w:tcW w:w="2941" w:type="dxa"/>
          </w:tcPr>
          <w:p w14:paraId="1EBE760C" w14:textId="77777777" w:rsidR="00941DAB" w:rsidRPr="00941DAB" w:rsidRDefault="00941DAB" w:rsidP="00941DAB">
            <w:pPr>
              <w:spacing w:after="160" w:line="259" w:lineRule="auto"/>
              <w:rPr>
                <w:sz w:val="18"/>
                <w:szCs w:val="18"/>
                <w:lang w:val="en-US"/>
              </w:rPr>
            </w:pPr>
            <w:r w:rsidRPr="00941DAB">
              <w:rPr>
                <w:sz w:val="18"/>
                <w:szCs w:val="18"/>
                <w:lang w:val="en-US"/>
              </w:rPr>
              <w:t>• Explore car design and innovation</w:t>
            </w:r>
            <w:r w:rsidRPr="00941DAB">
              <w:rPr>
                <w:sz w:val="18"/>
                <w:szCs w:val="18"/>
                <w:lang w:val="en-US"/>
              </w:rPr>
              <w:br/>
              <w:t>• Understand hybrid energy and sustainability</w:t>
            </w:r>
            <w:r w:rsidRPr="00941DAB">
              <w:rPr>
                <w:sz w:val="18"/>
                <w:szCs w:val="18"/>
                <w:lang w:val="en-US"/>
              </w:rPr>
              <w:br/>
              <w:t xml:space="preserve">• Apply </w:t>
            </w:r>
            <w:proofErr w:type="spellStart"/>
            <w:r w:rsidRPr="00941DAB">
              <w:rPr>
                <w:sz w:val="18"/>
                <w:szCs w:val="18"/>
                <w:lang w:val="en-US"/>
              </w:rPr>
              <w:t>maths</w:t>
            </w:r>
            <w:proofErr w:type="spellEnd"/>
            <w:r w:rsidRPr="00941DAB">
              <w:rPr>
                <w:sz w:val="18"/>
                <w:szCs w:val="18"/>
                <w:lang w:val="en-US"/>
              </w:rPr>
              <w:t xml:space="preserve"> and science to real-world technology</w:t>
            </w:r>
          </w:p>
        </w:tc>
        <w:tc>
          <w:tcPr>
            <w:tcW w:w="7236" w:type="dxa"/>
          </w:tcPr>
          <w:p w14:paraId="0BC37CB6" w14:textId="17DEB31B" w:rsidR="00941DAB" w:rsidRPr="00941DAB" w:rsidRDefault="002572EF" w:rsidP="00941DAB">
            <w:pPr>
              <w:spacing w:after="160" w:line="259" w:lineRule="auto"/>
              <w:rPr>
                <w:sz w:val="18"/>
                <w:szCs w:val="18"/>
                <w:lang w:val="en-US"/>
              </w:rPr>
            </w:pPr>
            <w:r w:rsidRPr="002572EF">
              <w:rPr>
                <w:sz w:val="18"/>
                <w:szCs w:val="18"/>
              </w:rPr>
              <w:t>Pupils examined the Bentley Batur, learning how design, materials and engineering combine in modern vehicles. They discussed performance, sustainability and applied maths skills such as speed and measurement.</w:t>
            </w:r>
          </w:p>
        </w:tc>
      </w:tr>
      <w:tr w:rsidR="00941DAB" w:rsidRPr="00941DAB" w14:paraId="6BB851C7" w14:textId="77777777" w:rsidTr="00941DAB">
        <w:tc>
          <w:tcPr>
            <w:tcW w:w="1838" w:type="dxa"/>
          </w:tcPr>
          <w:p w14:paraId="787CA2D9" w14:textId="5B2DD038" w:rsidR="00941DAB" w:rsidRPr="00941DAB" w:rsidRDefault="00941DAB" w:rsidP="00941DAB">
            <w:pPr>
              <w:spacing w:after="160" w:line="259" w:lineRule="auto"/>
              <w:rPr>
                <w:sz w:val="18"/>
                <w:szCs w:val="18"/>
                <w:lang w:val="en-US"/>
              </w:rPr>
            </w:pPr>
            <w:r w:rsidRPr="00941DAB">
              <w:rPr>
                <w:sz w:val="18"/>
                <w:szCs w:val="18"/>
                <w:lang w:val="en-US"/>
              </w:rPr>
              <w:lastRenderedPageBreak/>
              <w:t xml:space="preserve">Planet Food – </w:t>
            </w:r>
            <w:r w:rsidR="0060212E">
              <w:rPr>
                <w:sz w:val="18"/>
                <w:szCs w:val="18"/>
                <w:lang w:val="en-US"/>
              </w:rPr>
              <w:t xml:space="preserve">French Toast </w:t>
            </w:r>
          </w:p>
        </w:tc>
        <w:tc>
          <w:tcPr>
            <w:tcW w:w="1701" w:type="dxa"/>
          </w:tcPr>
          <w:p w14:paraId="60805451" w14:textId="77777777" w:rsidR="00941DAB" w:rsidRPr="00941DAB" w:rsidRDefault="00941DAB" w:rsidP="00941DAB">
            <w:pPr>
              <w:spacing w:after="160" w:line="259" w:lineRule="auto"/>
              <w:rPr>
                <w:sz w:val="18"/>
                <w:szCs w:val="18"/>
                <w:lang w:val="en-US"/>
              </w:rPr>
            </w:pPr>
            <w:r w:rsidRPr="00941DAB">
              <w:rPr>
                <w:sz w:val="18"/>
                <w:szCs w:val="18"/>
                <w:lang w:val="en-US"/>
              </w:rPr>
              <w:t>Science – Materials / Energy and Forces</w:t>
            </w:r>
            <w:r w:rsidRPr="00941DAB">
              <w:rPr>
                <w:sz w:val="18"/>
                <w:szCs w:val="18"/>
                <w:lang w:val="en-US"/>
              </w:rPr>
              <w:br/>
              <w:t>Maths – Measures</w:t>
            </w:r>
          </w:p>
        </w:tc>
        <w:tc>
          <w:tcPr>
            <w:tcW w:w="2941" w:type="dxa"/>
          </w:tcPr>
          <w:p w14:paraId="362FA070" w14:textId="77777777" w:rsidR="00941DAB" w:rsidRPr="00941DAB" w:rsidRDefault="00941DAB" w:rsidP="00941DAB">
            <w:pPr>
              <w:spacing w:after="160" w:line="259" w:lineRule="auto"/>
              <w:rPr>
                <w:sz w:val="18"/>
                <w:szCs w:val="18"/>
                <w:lang w:val="en-US"/>
              </w:rPr>
            </w:pPr>
            <w:r w:rsidRPr="00941DAB">
              <w:rPr>
                <w:sz w:val="18"/>
                <w:szCs w:val="18"/>
                <w:lang w:val="en-US"/>
              </w:rPr>
              <w:t>• Measure ingredients and observe physical changes</w:t>
            </w:r>
            <w:r w:rsidRPr="00941DAB">
              <w:rPr>
                <w:sz w:val="18"/>
                <w:szCs w:val="18"/>
                <w:lang w:val="en-US"/>
              </w:rPr>
              <w:br/>
              <w:t>• Discuss heat and energy in cooking</w:t>
            </w:r>
            <w:r w:rsidRPr="00941DAB">
              <w:rPr>
                <w:sz w:val="18"/>
                <w:szCs w:val="18"/>
                <w:lang w:val="en-US"/>
              </w:rPr>
              <w:br/>
              <w:t>• Connect food preparation to healthy choices</w:t>
            </w:r>
          </w:p>
        </w:tc>
        <w:tc>
          <w:tcPr>
            <w:tcW w:w="7236" w:type="dxa"/>
          </w:tcPr>
          <w:p w14:paraId="5C2AA993" w14:textId="0E8BAFD1" w:rsidR="00941DAB" w:rsidRPr="00941DAB" w:rsidRDefault="002572EF" w:rsidP="00941DAB">
            <w:pPr>
              <w:spacing w:after="160" w:line="259" w:lineRule="auto"/>
              <w:rPr>
                <w:sz w:val="18"/>
                <w:szCs w:val="18"/>
                <w:lang w:val="en-US"/>
              </w:rPr>
            </w:pPr>
            <w:r w:rsidRPr="002572EF">
              <w:rPr>
                <w:sz w:val="18"/>
                <w:szCs w:val="18"/>
              </w:rPr>
              <w:t>Pupils learned how French toast is made, measuring ingredients and observing physical changes during cooking. They discussed heat transfer, nutrition and how cooking connects science and maths.</w:t>
            </w:r>
          </w:p>
        </w:tc>
      </w:tr>
      <w:tr w:rsidR="00941DAB" w:rsidRPr="00941DAB" w14:paraId="7432C3FE" w14:textId="77777777" w:rsidTr="00941DAB">
        <w:tc>
          <w:tcPr>
            <w:tcW w:w="1838" w:type="dxa"/>
          </w:tcPr>
          <w:p w14:paraId="19263648" w14:textId="43167868" w:rsidR="00941DAB" w:rsidRPr="00941DAB" w:rsidRDefault="00941DAB" w:rsidP="00941DAB">
            <w:pPr>
              <w:spacing w:after="160" w:line="259" w:lineRule="auto"/>
              <w:rPr>
                <w:sz w:val="18"/>
                <w:szCs w:val="18"/>
                <w:lang w:val="en-US"/>
              </w:rPr>
            </w:pPr>
            <w:r w:rsidRPr="00941DAB">
              <w:rPr>
                <w:sz w:val="18"/>
                <w:szCs w:val="18"/>
                <w:lang w:val="en-US"/>
              </w:rPr>
              <w:t xml:space="preserve">Planet Music – </w:t>
            </w:r>
            <w:r w:rsidR="0060212E">
              <w:rPr>
                <w:sz w:val="18"/>
                <w:szCs w:val="18"/>
                <w:lang w:val="en-US"/>
              </w:rPr>
              <w:t xml:space="preserve">Cracking the Musical Code </w:t>
            </w:r>
          </w:p>
        </w:tc>
        <w:tc>
          <w:tcPr>
            <w:tcW w:w="1701" w:type="dxa"/>
          </w:tcPr>
          <w:p w14:paraId="69FD2CB7" w14:textId="77777777" w:rsidR="00941DAB" w:rsidRPr="00941DAB" w:rsidRDefault="00941DAB" w:rsidP="00941DAB">
            <w:pPr>
              <w:spacing w:after="160" w:line="259" w:lineRule="auto"/>
              <w:rPr>
                <w:sz w:val="18"/>
                <w:szCs w:val="18"/>
                <w:lang w:val="en-US"/>
              </w:rPr>
            </w:pPr>
            <w:r w:rsidRPr="00941DAB">
              <w:rPr>
                <w:sz w:val="18"/>
                <w:szCs w:val="18"/>
                <w:lang w:val="en-US"/>
              </w:rPr>
              <w:t>Music – Listening and Responding / Composing / Performing</w:t>
            </w:r>
          </w:p>
        </w:tc>
        <w:tc>
          <w:tcPr>
            <w:tcW w:w="2941" w:type="dxa"/>
          </w:tcPr>
          <w:p w14:paraId="30A94A0A" w14:textId="03D1D85A" w:rsidR="00941DAB" w:rsidRPr="00941DAB" w:rsidRDefault="002572EF" w:rsidP="00941DAB">
            <w:pPr>
              <w:spacing w:after="160" w:line="259" w:lineRule="auto"/>
              <w:rPr>
                <w:sz w:val="18"/>
                <w:szCs w:val="18"/>
                <w:lang w:val="en-US"/>
              </w:rPr>
            </w:pPr>
            <w:r w:rsidRPr="002572EF">
              <w:rPr>
                <w:sz w:val="18"/>
                <w:szCs w:val="18"/>
              </w:rPr>
              <w:t>• Explore musical patterns and structure</w:t>
            </w:r>
            <w:r w:rsidRPr="002572EF">
              <w:rPr>
                <w:sz w:val="18"/>
                <w:szCs w:val="18"/>
              </w:rPr>
              <w:br/>
              <w:t>• Recognise how music is created</w:t>
            </w:r>
            <w:r w:rsidRPr="002572EF">
              <w:rPr>
                <w:sz w:val="18"/>
                <w:szCs w:val="18"/>
              </w:rPr>
              <w:br/>
              <w:t>• Develop listening and responding skills</w:t>
            </w:r>
            <w:r w:rsidRPr="002572EF">
              <w:rPr>
                <w:sz w:val="18"/>
                <w:szCs w:val="18"/>
              </w:rPr>
              <w:br/>
              <w:t>• Experiment with rhythm and sound</w:t>
            </w:r>
          </w:p>
        </w:tc>
        <w:tc>
          <w:tcPr>
            <w:tcW w:w="7236" w:type="dxa"/>
          </w:tcPr>
          <w:p w14:paraId="698A2823" w14:textId="1D1B3F1E" w:rsidR="00941DAB" w:rsidRPr="00941DAB" w:rsidRDefault="002572EF" w:rsidP="00941DAB">
            <w:pPr>
              <w:spacing w:after="160" w:line="259" w:lineRule="auto"/>
              <w:rPr>
                <w:sz w:val="18"/>
                <w:szCs w:val="18"/>
                <w:lang w:val="en-US"/>
              </w:rPr>
            </w:pPr>
            <w:r w:rsidRPr="002572EF">
              <w:rPr>
                <w:sz w:val="18"/>
                <w:szCs w:val="18"/>
              </w:rPr>
              <w:t>Pupils explored how music works, learning about rhythm, melody and structure. They listened to different pieces, discussed musical patterns and experimented with creating their own simple compositions.</w:t>
            </w:r>
          </w:p>
        </w:tc>
      </w:tr>
    </w:tbl>
    <w:p w14:paraId="40ED674F" w14:textId="77777777" w:rsidR="00941DAB" w:rsidRPr="00941DAB" w:rsidRDefault="00941DAB" w:rsidP="00941DAB">
      <w:pPr>
        <w:rPr>
          <w:sz w:val="18"/>
          <w:szCs w:val="18"/>
          <w:lang w:val="en-US"/>
        </w:rPr>
      </w:pPr>
    </w:p>
    <w:p w14:paraId="6EA1170A" w14:textId="77777777" w:rsidR="00941DAB" w:rsidRPr="00941DAB" w:rsidRDefault="00941DAB" w:rsidP="00941DAB">
      <w:pPr>
        <w:rPr>
          <w:sz w:val="18"/>
          <w:szCs w:val="18"/>
          <w:lang w:val="en-US"/>
        </w:rPr>
      </w:pPr>
    </w:p>
    <w:p w14:paraId="2745AE72" w14:textId="77777777" w:rsidR="00AE713C" w:rsidRPr="00941DAB" w:rsidRDefault="00AE713C">
      <w:pPr>
        <w:rPr>
          <w:sz w:val="18"/>
          <w:szCs w:val="18"/>
        </w:rPr>
      </w:pPr>
    </w:p>
    <w:sectPr w:rsidR="00AE713C" w:rsidRPr="00941DAB" w:rsidSect="00941DAB">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AB"/>
    <w:rsid w:val="001F29DD"/>
    <w:rsid w:val="002170AA"/>
    <w:rsid w:val="0022179C"/>
    <w:rsid w:val="002572EF"/>
    <w:rsid w:val="00536DD2"/>
    <w:rsid w:val="0060212E"/>
    <w:rsid w:val="006E1170"/>
    <w:rsid w:val="009346C8"/>
    <w:rsid w:val="00941DAB"/>
    <w:rsid w:val="00AE713C"/>
    <w:rsid w:val="00D029D9"/>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5973"/>
  <w15:chartTrackingRefBased/>
  <w15:docId w15:val="{B5291A39-26C8-4169-B9AA-59147A71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D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D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D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D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D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D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D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DAB"/>
    <w:rPr>
      <w:rFonts w:eastAsiaTheme="majorEastAsia" w:cstheme="majorBidi"/>
      <w:color w:val="272727" w:themeColor="text1" w:themeTint="D8"/>
    </w:rPr>
  </w:style>
  <w:style w:type="paragraph" w:styleId="Title">
    <w:name w:val="Title"/>
    <w:basedOn w:val="Normal"/>
    <w:next w:val="Normal"/>
    <w:link w:val="TitleChar"/>
    <w:uiPriority w:val="10"/>
    <w:qFormat/>
    <w:rsid w:val="00941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DAB"/>
    <w:pPr>
      <w:spacing w:before="160"/>
      <w:jc w:val="center"/>
    </w:pPr>
    <w:rPr>
      <w:i/>
      <w:iCs/>
      <w:color w:val="404040" w:themeColor="text1" w:themeTint="BF"/>
    </w:rPr>
  </w:style>
  <w:style w:type="character" w:customStyle="1" w:styleId="QuoteChar">
    <w:name w:val="Quote Char"/>
    <w:basedOn w:val="DefaultParagraphFont"/>
    <w:link w:val="Quote"/>
    <w:uiPriority w:val="29"/>
    <w:rsid w:val="00941DAB"/>
    <w:rPr>
      <w:i/>
      <w:iCs/>
      <w:color w:val="404040" w:themeColor="text1" w:themeTint="BF"/>
    </w:rPr>
  </w:style>
  <w:style w:type="paragraph" w:styleId="ListParagraph">
    <w:name w:val="List Paragraph"/>
    <w:basedOn w:val="Normal"/>
    <w:uiPriority w:val="34"/>
    <w:qFormat/>
    <w:rsid w:val="00941DAB"/>
    <w:pPr>
      <w:ind w:left="720"/>
      <w:contextualSpacing/>
    </w:pPr>
  </w:style>
  <w:style w:type="character" w:styleId="IntenseEmphasis">
    <w:name w:val="Intense Emphasis"/>
    <w:basedOn w:val="DefaultParagraphFont"/>
    <w:uiPriority w:val="21"/>
    <w:qFormat/>
    <w:rsid w:val="00941DAB"/>
    <w:rPr>
      <w:i/>
      <w:iCs/>
      <w:color w:val="0F4761" w:themeColor="accent1" w:themeShade="BF"/>
    </w:rPr>
  </w:style>
  <w:style w:type="paragraph" w:styleId="IntenseQuote">
    <w:name w:val="Intense Quote"/>
    <w:basedOn w:val="Normal"/>
    <w:next w:val="Normal"/>
    <w:link w:val="IntenseQuoteChar"/>
    <w:uiPriority w:val="30"/>
    <w:qFormat/>
    <w:rsid w:val="00941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DAB"/>
    <w:rPr>
      <w:i/>
      <w:iCs/>
      <w:color w:val="0F4761" w:themeColor="accent1" w:themeShade="BF"/>
    </w:rPr>
  </w:style>
  <w:style w:type="character" w:styleId="IntenseReference">
    <w:name w:val="Intense Reference"/>
    <w:basedOn w:val="DefaultParagraphFont"/>
    <w:uiPriority w:val="32"/>
    <w:qFormat/>
    <w:rsid w:val="00941DAB"/>
    <w:rPr>
      <w:b/>
      <w:bCs/>
      <w:smallCaps/>
      <w:color w:val="0F4761" w:themeColor="accent1" w:themeShade="BF"/>
      <w:spacing w:val="5"/>
    </w:rPr>
  </w:style>
  <w:style w:type="table" w:styleId="TableGrid">
    <w:name w:val="Table Grid"/>
    <w:basedOn w:val="TableNormal"/>
    <w:uiPriority w:val="39"/>
    <w:rsid w:val="00941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4551</Characters>
  <Application>Microsoft Office Word</Application>
  <DocSecurity>0</DocSecurity>
  <Lines>189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Keane</dc:creator>
  <cp:keywords/>
  <dc:description/>
  <cp:lastModifiedBy>Stephen Keane</cp:lastModifiedBy>
  <cp:revision>4</cp:revision>
  <dcterms:created xsi:type="dcterms:W3CDTF">2026-01-09T11:57:00Z</dcterms:created>
  <dcterms:modified xsi:type="dcterms:W3CDTF">2026-01-09T12:02:00Z</dcterms:modified>
</cp:coreProperties>
</file>